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43BD5">
      <w:pPr>
        <w:pStyle w:val="27"/>
        <w:spacing w:before="120" w:beforeAutospacing="0" w:after="120" w:afterAutospacing="0" w:line="360" w:lineRule="auto"/>
        <w:rPr>
          <w:rFonts w:hint="eastAsia" w:ascii="宋体" w:hAnsi="宋体" w:eastAsia="宋体" w:cs="宋体"/>
          <w:color w:val="auto"/>
          <w:highlight w:val="none"/>
        </w:rPr>
      </w:pPr>
    </w:p>
    <w:p w14:paraId="06F9566E">
      <w:pPr>
        <w:pStyle w:val="27"/>
        <w:spacing w:before="120" w:beforeAutospacing="0" w:after="120" w:afterAutospacing="0" w:line="360" w:lineRule="auto"/>
        <w:rPr>
          <w:rFonts w:hint="eastAsia" w:ascii="宋体" w:hAnsi="宋体" w:eastAsia="宋体" w:cs="宋体"/>
          <w:color w:val="auto"/>
          <w:highlight w:val="none"/>
        </w:rPr>
      </w:pPr>
    </w:p>
    <w:p w14:paraId="5FCCA6F0">
      <w:pPr>
        <w:pStyle w:val="27"/>
        <w:spacing w:before="120" w:beforeAutospacing="0" w:after="120" w:afterAutospacing="0" w:line="360" w:lineRule="auto"/>
        <w:rPr>
          <w:rFonts w:hint="eastAsia" w:ascii="宋体" w:hAnsi="宋体" w:eastAsia="宋体" w:cs="宋体"/>
          <w:color w:val="auto"/>
          <w:highlight w:val="none"/>
        </w:rPr>
      </w:pPr>
    </w:p>
    <w:p w14:paraId="2133AFDA">
      <w:pPr>
        <w:pStyle w:val="27"/>
        <w:spacing w:before="120" w:beforeAutospacing="0" w:after="120" w:afterAutospacing="0" w:line="360" w:lineRule="auto"/>
        <w:rPr>
          <w:rFonts w:hint="eastAsia" w:ascii="宋体" w:hAnsi="宋体" w:eastAsia="宋体" w:cs="宋体"/>
          <w:color w:val="auto"/>
          <w:highlight w:val="none"/>
        </w:rPr>
      </w:pPr>
    </w:p>
    <w:p w14:paraId="251EF169">
      <w:pPr>
        <w:pStyle w:val="27"/>
        <w:spacing w:before="120" w:beforeAutospacing="0" w:after="120" w:afterAutospacing="0"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招 标 文 件</w:t>
      </w:r>
    </w:p>
    <w:p w14:paraId="4BC1AD6C">
      <w:pPr>
        <w:pStyle w:val="27"/>
        <w:spacing w:before="120" w:beforeAutospacing="0" w:after="120" w:afterAutospacing="0" w:line="360" w:lineRule="auto"/>
        <w:ind w:firstLine="422"/>
        <w:jc w:val="center"/>
        <w:rPr>
          <w:rFonts w:hint="eastAsia" w:ascii="宋体" w:hAnsi="宋体" w:eastAsia="宋体" w:cs="宋体"/>
          <w:b/>
          <w:color w:val="auto"/>
          <w:sz w:val="84"/>
          <w:szCs w:val="84"/>
          <w:highlight w:val="none"/>
        </w:rPr>
      </w:pPr>
    </w:p>
    <w:p w14:paraId="4EA5BD03">
      <w:pPr>
        <w:pStyle w:val="27"/>
        <w:spacing w:before="120" w:beforeAutospacing="0" w:after="120" w:afterAutospacing="0" w:line="360" w:lineRule="auto"/>
        <w:ind w:firstLine="161"/>
        <w:rPr>
          <w:rFonts w:hint="eastAsia" w:ascii="宋体" w:hAnsi="宋体" w:eastAsia="宋体" w:cs="宋体"/>
          <w:b/>
          <w:color w:val="auto"/>
          <w:sz w:val="32"/>
          <w:szCs w:val="32"/>
          <w:highlight w:val="none"/>
        </w:rPr>
      </w:pPr>
    </w:p>
    <w:p w14:paraId="527CA2BF">
      <w:pPr>
        <w:pStyle w:val="27"/>
        <w:spacing w:before="120" w:beforeAutospacing="0" w:after="120" w:afterAutospacing="0"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eastAsia="zh-CN"/>
        </w:rPr>
        <w:t>盐城市路灯管理处2026年度购电项目</w:t>
      </w:r>
    </w:p>
    <w:p w14:paraId="72C975D7">
      <w:pPr>
        <w:pStyle w:val="27"/>
        <w:spacing w:before="120" w:beforeAutospacing="0" w:after="120" w:afterAutospacing="0" w:line="360" w:lineRule="auto"/>
        <w:rPr>
          <w:rFonts w:hint="eastAsia" w:ascii="宋体" w:hAnsi="宋体" w:eastAsia="宋体" w:cs="宋体"/>
          <w:color w:val="auto"/>
          <w:highlight w:val="none"/>
          <w:lang w:val="en-US"/>
        </w:rPr>
      </w:pPr>
      <w:r>
        <w:rPr>
          <w:rFonts w:hint="eastAsia" w:ascii="宋体" w:hAnsi="宋体" w:eastAsia="宋体" w:cs="宋体"/>
          <w:b/>
          <w:color w:val="auto"/>
          <w:sz w:val="32"/>
          <w:szCs w:val="32"/>
          <w:highlight w:val="none"/>
        </w:rPr>
        <w:t>项目编号：JSZC-320900-JSJA-G2025-0006</w:t>
      </w:r>
    </w:p>
    <w:p w14:paraId="1B5DB0BC">
      <w:pPr>
        <w:jc w:val="center"/>
        <w:rPr>
          <w:rFonts w:hint="eastAsia" w:ascii="宋体" w:hAnsi="宋体" w:eastAsia="宋体" w:cs="宋体"/>
          <w:b/>
          <w:color w:val="auto"/>
          <w:sz w:val="32"/>
          <w:szCs w:val="32"/>
          <w:highlight w:val="none"/>
          <w:lang w:eastAsia="zh-CN"/>
        </w:rPr>
      </w:pPr>
    </w:p>
    <w:p w14:paraId="7FC378AC">
      <w:pPr>
        <w:jc w:val="center"/>
        <w:rPr>
          <w:rFonts w:hint="eastAsia" w:ascii="宋体" w:hAnsi="宋体" w:eastAsia="宋体" w:cs="宋体"/>
          <w:b/>
          <w:color w:val="auto"/>
          <w:sz w:val="32"/>
          <w:szCs w:val="32"/>
          <w:highlight w:val="none"/>
          <w:lang w:eastAsia="zh-CN"/>
        </w:rPr>
      </w:pPr>
    </w:p>
    <w:p w14:paraId="797F90C7">
      <w:pPr>
        <w:jc w:val="center"/>
        <w:rPr>
          <w:rFonts w:hint="eastAsia" w:ascii="宋体" w:hAnsi="宋体" w:eastAsia="宋体" w:cs="宋体"/>
          <w:b/>
          <w:color w:val="auto"/>
          <w:sz w:val="32"/>
          <w:szCs w:val="32"/>
          <w:highlight w:val="none"/>
          <w:lang w:eastAsia="zh-CN"/>
        </w:rPr>
      </w:pPr>
    </w:p>
    <w:p w14:paraId="2D6866DF">
      <w:pPr>
        <w:jc w:val="center"/>
        <w:rPr>
          <w:rFonts w:hint="eastAsia" w:ascii="宋体" w:hAnsi="宋体" w:eastAsia="宋体" w:cs="宋体"/>
          <w:b/>
          <w:color w:val="auto"/>
          <w:sz w:val="32"/>
          <w:szCs w:val="32"/>
          <w:highlight w:val="none"/>
          <w:lang w:eastAsia="zh-CN"/>
        </w:rPr>
      </w:pPr>
    </w:p>
    <w:p w14:paraId="54C2EB07">
      <w:pPr>
        <w:jc w:val="center"/>
        <w:rPr>
          <w:rFonts w:hint="eastAsia" w:ascii="宋体" w:hAnsi="宋体" w:eastAsia="宋体" w:cs="宋体"/>
          <w:b/>
          <w:color w:val="auto"/>
          <w:sz w:val="32"/>
          <w:szCs w:val="32"/>
          <w:highlight w:val="none"/>
          <w:lang w:eastAsia="zh-CN"/>
        </w:rPr>
      </w:pPr>
    </w:p>
    <w:p w14:paraId="0C6FD756">
      <w:pPr>
        <w:jc w:val="center"/>
        <w:rPr>
          <w:rFonts w:hint="eastAsia" w:ascii="宋体" w:hAnsi="宋体" w:eastAsia="宋体" w:cs="宋体"/>
          <w:b/>
          <w:color w:val="auto"/>
          <w:sz w:val="32"/>
          <w:szCs w:val="32"/>
          <w:highlight w:val="none"/>
          <w:lang w:eastAsia="zh-CN"/>
        </w:rPr>
      </w:pPr>
    </w:p>
    <w:p w14:paraId="779076CD">
      <w:pPr>
        <w:jc w:val="center"/>
        <w:rPr>
          <w:rFonts w:hint="eastAsia" w:ascii="宋体" w:hAnsi="宋体" w:eastAsia="宋体" w:cs="宋体"/>
          <w:b/>
          <w:color w:val="auto"/>
          <w:sz w:val="32"/>
          <w:szCs w:val="32"/>
          <w:highlight w:val="none"/>
          <w:lang w:eastAsia="zh-CN"/>
        </w:rPr>
      </w:pPr>
    </w:p>
    <w:p w14:paraId="1F6E4624">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eastAsia="zh-CN"/>
        </w:rPr>
        <w:t>盐城市路灯管理处</w:t>
      </w:r>
    </w:p>
    <w:p w14:paraId="336F7822">
      <w:pPr>
        <w:pStyle w:val="27"/>
        <w:spacing w:before="120" w:beforeAutospacing="0" w:after="120" w:afterAutospacing="0" w:line="360" w:lineRule="auto"/>
        <w:ind w:firstLine="0"/>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 2025年</w:t>
      </w:r>
      <w:r>
        <w:rPr>
          <w:rFonts w:hint="eastAsia" w:ascii="宋体" w:hAnsi="宋体" w:eastAsia="宋体" w:cs="宋体"/>
          <w:b/>
          <w:color w:val="auto"/>
          <w:sz w:val="32"/>
          <w:szCs w:val="32"/>
          <w:highlight w:val="none"/>
          <w:lang w:val="en-US" w:eastAsia="zh-CN"/>
        </w:rPr>
        <w:t>11</w:t>
      </w:r>
      <w:r>
        <w:rPr>
          <w:rFonts w:hint="eastAsia" w:ascii="宋体" w:hAnsi="宋体" w:eastAsia="宋体" w:cs="宋体"/>
          <w:b/>
          <w:color w:val="auto"/>
          <w:sz w:val="32"/>
          <w:szCs w:val="32"/>
          <w:highlight w:val="none"/>
        </w:rPr>
        <w:t>月</w:t>
      </w:r>
    </w:p>
    <w:p w14:paraId="388CAE35">
      <w:pPr>
        <w:pStyle w:val="27"/>
        <w:spacing w:beforeAutospacing="0" w:afterAutospacing="0" w:line="480" w:lineRule="auto"/>
        <w:jc w:val="center"/>
        <w:rPr>
          <w:rFonts w:hint="eastAsia" w:ascii="宋体" w:hAnsi="宋体" w:eastAsia="宋体" w:cs="宋体"/>
          <w:b/>
          <w:color w:val="auto"/>
          <w:sz w:val="44"/>
          <w:szCs w:val="44"/>
          <w:highlight w:val="none"/>
        </w:rPr>
        <w:sectPr>
          <w:pgSz w:w="11906" w:h="16838"/>
          <w:pgMar w:top="1440" w:right="1800" w:bottom="1440" w:left="1800" w:header="851" w:footer="992" w:gutter="0"/>
          <w:cols w:space="425" w:num="1"/>
          <w:docGrid w:linePitch="360" w:charSpace="0"/>
        </w:sectPr>
      </w:pPr>
      <w:bookmarkStart w:id="0" w:name="_Toc20823272"/>
      <w:bookmarkStart w:id="1" w:name="_Toc120614210"/>
      <w:bookmarkStart w:id="2" w:name="_Toc16938516"/>
      <w:bookmarkStart w:id="3" w:name="_Toc513029200"/>
      <w:bookmarkStart w:id="4" w:name="_Toc479757206"/>
      <w:bookmarkStart w:id="5" w:name="_Toc523127445"/>
    </w:p>
    <w:p w14:paraId="1DFEDA46">
      <w:pPr>
        <w:pStyle w:val="27"/>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751ECF5F">
      <w:pPr>
        <w:pStyle w:val="27"/>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5B298CA">
      <w:pPr>
        <w:pStyle w:val="27"/>
        <w:tabs>
          <w:tab w:val="left" w:pos="1441"/>
        </w:tabs>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第一章 </w:t>
      </w:r>
      <w:r>
        <w:rPr>
          <w:rFonts w:hint="eastAsia" w:ascii="宋体" w:hAnsi="宋体" w:eastAsia="宋体" w:cs="宋体"/>
          <w:color w:val="auto"/>
          <w:sz w:val="36"/>
          <w:szCs w:val="36"/>
          <w:highlight w:val="none"/>
        </w:rPr>
        <w:t>招标公告……………………………………</w:t>
      </w:r>
      <w:r>
        <w:rPr>
          <w:rFonts w:hint="eastAsia" w:ascii="宋体" w:hAnsi="宋体" w:eastAsia="宋体" w:cs="宋体"/>
          <w:color w:val="auto"/>
          <w:sz w:val="36"/>
          <w:szCs w:val="36"/>
          <w:highlight w:val="none"/>
          <w:lang w:val="en-US" w:eastAsia="zh-CN"/>
        </w:rPr>
        <w:t>1</w:t>
      </w:r>
      <w:r>
        <w:rPr>
          <w:rFonts w:hint="eastAsia" w:ascii="宋体" w:hAnsi="宋体" w:eastAsia="宋体" w:cs="宋体"/>
          <w:color w:val="auto"/>
          <w:sz w:val="36"/>
          <w:szCs w:val="36"/>
          <w:highlight w:val="none"/>
        </w:rPr>
        <w:t xml:space="preserve"> </w:t>
      </w:r>
    </w:p>
    <w:p w14:paraId="43EBA5FF">
      <w:pPr>
        <w:pStyle w:val="27"/>
        <w:tabs>
          <w:tab w:val="left" w:pos="1441"/>
        </w:tabs>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第二章 </w:t>
      </w:r>
      <w:r>
        <w:rPr>
          <w:rFonts w:hint="eastAsia" w:ascii="宋体" w:hAnsi="宋体" w:eastAsia="宋体" w:cs="宋体"/>
          <w:color w:val="auto"/>
          <w:sz w:val="36"/>
          <w:szCs w:val="36"/>
          <w:highlight w:val="none"/>
        </w:rPr>
        <w:t>投标人须知…………………………………</w:t>
      </w:r>
      <w:r>
        <w:rPr>
          <w:rFonts w:hint="eastAsia" w:ascii="宋体" w:hAnsi="宋体" w:eastAsia="宋体" w:cs="宋体"/>
          <w:color w:val="auto"/>
          <w:sz w:val="36"/>
          <w:szCs w:val="36"/>
          <w:highlight w:val="none"/>
          <w:lang w:val="en-US" w:eastAsia="zh-CN"/>
        </w:rPr>
        <w:t>5</w:t>
      </w:r>
      <w:r>
        <w:rPr>
          <w:rFonts w:hint="eastAsia" w:ascii="宋体" w:hAnsi="宋体" w:eastAsia="宋体" w:cs="宋体"/>
          <w:color w:val="auto"/>
          <w:sz w:val="36"/>
          <w:szCs w:val="36"/>
          <w:highlight w:val="none"/>
        </w:rPr>
        <w:t xml:space="preserve">  </w:t>
      </w:r>
    </w:p>
    <w:p w14:paraId="0E5066C5">
      <w:pPr>
        <w:pStyle w:val="27"/>
        <w:tabs>
          <w:tab w:val="left" w:pos="1441"/>
        </w:tabs>
        <w:spacing w:beforeAutospacing="0" w:afterAutospacing="0" w:line="48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合同条款……………………………………</w:t>
      </w:r>
      <w:r>
        <w:rPr>
          <w:rFonts w:hint="eastAsia" w:ascii="宋体" w:hAnsi="宋体" w:eastAsia="宋体" w:cs="宋体"/>
          <w:color w:val="auto"/>
          <w:sz w:val="36"/>
          <w:szCs w:val="36"/>
          <w:highlight w:val="none"/>
          <w:lang w:val="en-US" w:eastAsia="zh-CN"/>
        </w:rPr>
        <w:t>18</w:t>
      </w:r>
    </w:p>
    <w:p w14:paraId="005391E6">
      <w:pPr>
        <w:pStyle w:val="27"/>
        <w:tabs>
          <w:tab w:val="left" w:pos="1441"/>
        </w:tabs>
        <w:spacing w:beforeAutospacing="0" w:afterAutospacing="0" w:line="48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第四章 </w:t>
      </w:r>
      <w:r>
        <w:rPr>
          <w:rFonts w:hint="eastAsia" w:ascii="宋体" w:hAnsi="宋体" w:eastAsia="宋体" w:cs="宋体"/>
          <w:color w:val="auto"/>
          <w:sz w:val="36"/>
          <w:szCs w:val="36"/>
          <w:highlight w:val="none"/>
        </w:rPr>
        <w:t>采购需求……………………………………</w:t>
      </w:r>
      <w:r>
        <w:rPr>
          <w:rFonts w:hint="eastAsia" w:ascii="宋体" w:hAnsi="宋体" w:eastAsia="宋体" w:cs="宋体"/>
          <w:color w:val="auto"/>
          <w:sz w:val="36"/>
          <w:szCs w:val="36"/>
          <w:highlight w:val="none"/>
          <w:lang w:val="en-US" w:eastAsia="zh-CN"/>
        </w:rPr>
        <w:t>30</w:t>
      </w:r>
    </w:p>
    <w:p w14:paraId="5B73A206">
      <w:pPr>
        <w:pStyle w:val="27"/>
        <w:tabs>
          <w:tab w:val="left" w:pos="1441"/>
        </w:tabs>
        <w:spacing w:beforeAutospacing="0" w:afterAutospacing="0" w:line="48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第五章 </w:t>
      </w:r>
      <w:r>
        <w:rPr>
          <w:rFonts w:hint="eastAsia" w:ascii="宋体" w:hAnsi="宋体" w:eastAsia="宋体" w:cs="宋体"/>
          <w:color w:val="auto"/>
          <w:sz w:val="36"/>
          <w:szCs w:val="36"/>
          <w:highlight w:val="none"/>
        </w:rPr>
        <w:t>评标方法与评标标准………………………</w:t>
      </w:r>
      <w:r>
        <w:rPr>
          <w:rFonts w:hint="eastAsia" w:ascii="宋体" w:hAnsi="宋体" w:eastAsia="宋体" w:cs="宋体"/>
          <w:color w:val="auto"/>
          <w:sz w:val="36"/>
          <w:szCs w:val="36"/>
          <w:highlight w:val="none"/>
          <w:lang w:val="en-US" w:eastAsia="zh-CN"/>
        </w:rPr>
        <w:t>32</w:t>
      </w:r>
    </w:p>
    <w:p w14:paraId="25B3946A">
      <w:pPr>
        <w:pStyle w:val="27"/>
        <w:tabs>
          <w:tab w:val="left" w:pos="1441"/>
        </w:tabs>
        <w:spacing w:beforeAutospacing="0" w:afterAutospacing="0" w:line="48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lang w:val="en-US" w:eastAsia="zh-CN"/>
        </w:rPr>
        <w:t xml:space="preserve">第六章 </w:t>
      </w:r>
      <w:r>
        <w:rPr>
          <w:rFonts w:hint="eastAsia" w:ascii="宋体" w:hAnsi="宋体" w:eastAsia="宋体" w:cs="宋体"/>
          <w:color w:val="auto"/>
          <w:sz w:val="36"/>
          <w:szCs w:val="36"/>
          <w:highlight w:val="none"/>
        </w:rPr>
        <w:t>投标文件格式………………………………</w:t>
      </w:r>
      <w:r>
        <w:rPr>
          <w:rFonts w:hint="eastAsia" w:ascii="宋体" w:hAnsi="宋体" w:eastAsia="宋体" w:cs="宋体"/>
          <w:color w:val="auto"/>
          <w:sz w:val="36"/>
          <w:szCs w:val="36"/>
          <w:highlight w:val="none"/>
          <w:lang w:val="en-US" w:eastAsia="zh-CN"/>
        </w:rPr>
        <w:t>34</w:t>
      </w:r>
    </w:p>
    <w:p w14:paraId="656D7385">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7DAC00">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DF87D76">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2E39C4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713D6E5">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B82150">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3C87EA">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DBD1951">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4FD1EA0">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F5EBB9">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B2D328">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FD95FF8">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AFF9CA">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7A8D79">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944BD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D5FAA10">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AB385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5557D76">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F9F151">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E3832AC">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FCA86EA">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351B9D">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519334">
      <w:pPr>
        <w:pStyle w:val="27"/>
        <w:keepNext/>
        <w:spacing w:beforeAutospacing="0" w:afterAutospacing="0"/>
        <w:ind w:firstLine="220"/>
        <w:jc w:val="center"/>
        <w:rPr>
          <w:rFonts w:hint="eastAsia" w:ascii="宋体" w:hAnsi="宋体" w:eastAsia="宋体" w:cs="宋体"/>
          <w:color w:val="auto"/>
          <w:sz w:val="44"/>
          <w:szCs w:val="44"/>
          <w:highlight w:val="none"/>
        </w:rPr>
        <w:sectPr>
          <w:headerReference r:id="rId3" w:type="default"/>
          <w:footerReference r:id="rId4" w:type="default"/>
          <w:pgSz w:w="11910" w:h="16840"/>
          <w:pgMar w:top="1134" w:right="1134" w:bottom="1134" w:left="1259" w:header="720" w:footer="720" w:gutter="0"/>
          <w:pgNumType w:start="0"/>
          <w:cols w:space="720" w:num="1"/>
          <w:titlePg/>
          <w:docGrid w:linePitch="360" w:charSpace="0"/>
        </w:sectPr>
      </w:pPr>
      <w:bookmarkStart w:id="6" w:name="_Toc28359086"/>
    </w:p>
    <w:p w14:paraId="4B3963E5">
      <w:pPr>
        <w:pStyle w:val="27"/>
        <w:keepNext/>
        <w:pageBreakBefore w:val="0"/>
        <w:spacing w:beforeAutospacing="0" w:afterAutospacing="0" w:line="360" w:lineRule="auto"/>
        <w:ind w:firstLine="22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招标公告</w:t>
      </w:r>
    </w:p>
    <w:p w14:paraId="17833315">
      <w:pPr>
        <w:pStyle w:val="27"/>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4036F58">
      <w:pPr>
        <w:pStyle w:val="27"/>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ind w:firstLine="0"/>
        <w:jc w:val="both"/>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lang w:eastAsia="zh-CN"/>
        </w:rPr>
        <w:t>盐城市路灯管理处2026年度购电项目</w:t>
      </w:r>
      <w:r>
        <w:rPr>
          <w:rFonts w:hint="eastAsia" w:ascii="宋体" w:hAnsi="宋体" w:eastAsia="宋体" w:cs="宋体"/>
          <w:color w:val="auto"/>
          <w:sz w:val="24"/>
          <w:szCs w:val="24"/>
          <w:highlight w:val="none"/>
          <w:u w:val="none"/>
        </w:rPr>
        <w:t>JSZC-320900-JSJA-G2025-0006</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在“苏采云”系统内免费下载（投标人必须在苏采云系统中获取采购文件，方能参与政府采购项目）获取招标文件，并于</w:t>
      </w:r>
      <w:r>
        <w:rPr>
          <w:rFonts w:hint="eastAsia" w:ascii="宋体" w:hAnsi="宋体" w:eastAsia="宋体" w:cs="宋体"/>
          <w:color w:val="auto"/>
          <w:sz w:val="24"/>
          <w:szCs w:val="24"/>
          <w:highlight w:val="none"/>
          <w:u w:val="none"/>
        </w:rPr>
        <w:t>202</w:t>
      </w:r>
      <w:r>
        <w:rPr>
          <w:rFonts w:hint="eastAsia" w:ascii="宋体" w:hAnsi="宋体" w:eastAsia="宋体" w:cs="宋体"/>
          <w:color w:val="auto"/>
          <w:sz w:val="24"/>
          <w:szCs w:val="24"/>
          <w:highlight w:val="none"/>
          <w:u w:val="none"/>
          <w:lang w:val="en-US" w:eastAsia="zh-CN"/>
        </w:rPr>
        <w:t xml:space="preserve">5-12-04 </w:t>
      </w:r>
      <w:r>
        <w:rPr>
          <w:rFonts w:hint="eastAsia" w:ascii="宋体" w:hAnsi="宋体" w:eastAsia="宋体" w:cs="宋体"/>
          <w:color w:val="auto"/>
          <w:sz w:val="24"/>
          <w:szCs w:val="24"/>
          <w:highlight w:val="none"/>
          <w:u w:val="none"/>
        </w:rPr>
        <w:t>9</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0（</w:t>
      </w:r>
      <w:r>
        <w:rPr>
          <w:rFonts w:hint="eastAsia" w:ascii="宋体" w:hAnsi="宋体" w:eastAsia="宋体" w:cs="宋体"/>
          <w:color w:val="auto"/>
          <w:sz w:val="24"/>
          <w:szCs w:val="24"/>
          <w:highlight w:val="none"/>
        </w:rPr>
        <w:t>北京时间）前递交投标文件。</w:t>
      </w:r>
      <w:bookmarkStart w:id="7" w:name="_Toc35393621"/>
      <w:bookmarkStart w:id="8" w:name="_Hlk24379207"/>
      <w:bookmarkStart w:id="9" w:name="_Toc35393790"/>
      <w:bookmarkStart w:id="10" w:name="_Toc38985263"/>
      <w:bookmarkStart w:id="11" w:name="_Toc28359002"/>
      <w:bookmarkStart w:id="12" w:name="_Toc28359079"/>
    </w:p>
    <w:p w14:paraId="56A0013F">
      <w:pPr>
        <w:pStyle w:val="27"/>
        <w:keepNext/>
        <w:keepLines/>
        <w:pageBreakBefore w:val="0"/>
        <w:widowControl w:val="0"/>
        <w:spacing w:beforeAutospacing="0" w:afterAutospacing="0" w:line="360" w:lineRule="auto"/>
        <w:ind w:firstLine="56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bookmarkEnd w:id="7"/>
      <w:bookmarkEnd w:id="8"/>
      <w:bookmarkEnd w:id="9"/>
      <w:bookmarkEnd w:id="10"/>
      <w:bookmarkEnd w:id="11"/>
      <w:bookmarkEnd w:id="12"/>
    </w:p>
    <w:p w14:paraId="2F29D2C8">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项目编号：JSZC-320900-JSJA-G2025-0006</w:t>
      </w:r>
    </w:p>
    <w:p w14:paraId="6C33432C">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项目名称：</w:t>
      </w:r>
      <w:r>
        <w:rPr>
          <w:rFonts w:hint="eastAsia" w:ascii="宋体" w:hAnsi="宋体" w:eastAsia="宋体" w:cs="宋体"/>
          <w:color w:val="auto"/>
          <w:sz w:val="24"/>
          <w:szCs w:val="24"/>
          <w:highlight w:val="none"/>
          <w:shd w:val="clear" w:color="auto" w:fill="FFFFFF"/>
          <w:lang w:eastAsia="zh-CN"/>
        </w:rPr>
        <w:t>盐城市路灯管理处2026年度购电项目</w:t>
      </w:r>
    </w:p>
    <w:p w14:paraId="732AB770">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采购方式：公开招标</w:t>
      </w:r>
    </w:p>
    <w:p w14:paraId="1FDAF60D">
      <w:pPr>
        <w:pStyle w:val="27"/>
        <w:pageBreakBefore w:val="0"/>
        <w:widowControl w:val="0"/>
        <w:spacing w:beforeAutospacing="0" w:afterAutospacing="0" w:line="360" w:lineRule="auto"/>
        <w:ind w:firstLine="56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2558</w:t>
      </w:r>
      <w:r>
        <w:rPr>
          <w:rFonts w:hint="eastAsia" w:ascii="宋体" w:hAnsi="宋体" w:eastAsia="宋体" w:cs="宋体"/>
          <w:color w:val="auto"/>
          <w:sz w:val="24"/>
          <w:szCs w:val="24"/>
          <w:highlight w:val="none"/>
        </w:rPr>
        <w:t>万元</w:t>
      </w:r>
    </w:p>
    <w:p w14:paraId="4BAAFE04">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en-US" w:eastAsia="zh-CN"/>
        </w:rPr>
        <w:t>2558</w:t>
      </w:r>
      <w:r>
        <w:rPr>
          <w:rFonts w:hint="eastAsia" w:ascii="宋体" w:hAnsi="宋体" w:eastAsia="宋体" w:cs="宋体"/>
          <w:color w:val="auto"/>
          <w:sz w:val="24"/>
          <w:szCs w:val="24"/>
          <w:highlight w:val="none"/>
        </w:rPr>
        <w:t>万元</w:t>
      </w:r>
    </w:p>
    <w:p w14:paraId="571C6982">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采购需求（简介）：</w:t>
      </w:r>
    </w:p>
    <w:p w14:paraId="4CA1A41A">
      <w:pPr>
        <w:pStyle w:val="27"/>
        <w:pageBreakBefore w:val="0"/>
        <w:widowControl w:val="0"/>
        <w:spacing w:beforeAutospacing="0" w:afterAutospacing="0"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约</w:t>
      </w:r>
      <w:r>
        <w:rPr>
          <w:rFonts w:hint="eastAsia" w:ascii="宋体" w:hAnsi="宋体" w:eastAsia="宋体" w:cs="宋体"/>
          <w:color w:val="auto"/>
          <w:highlight w:val="none"/>
          <w:lang w:val="en-US" w:eastAsia="zh-CN"/>
        </w:rPr>
        <w:t>3488</w:t>
      </w:r>
      <w:r>
        <w:rPr>
          <w:rFonts w:hint="eastAsia" w:ascii="宋体" w:hAnsi="宋体" w:eastAsia="宋体" w:cs="宋体"/>
          <w:color w:val="auto"/>
          <w:highlight w:val="none"/>
        </w:rPr>
        <w:t>万度/年，以实际使用的电量为准；服务期间，中标人须每季度末向采购人汇报1次用电情况，具体详见招标文件第四</w:t>
      </w:r>
      <w:r>
        <w:rPr>
          <w:rFonts w:hint="eastAsia" w:ascii="宋体" w:hAnsi="宋体" w:eastAsia="宋体" w:cs="宋体"/>
          <w:color w:val="auto"/>
          <w:highlight w:val="none"/>
          <w:lang w:val="en-US" w:eastAsia="zh-CN"/>
        </w:rPr>
        <w:t>章采购需求</w:t>
      </w:r>
      <w:r>
        <w:rPr>
          <w:rFonts w:hint="eastAsia" w:ascii="宋体" w:hAnsi="宋体" w:eastAsia="宋体" w:cs="宋体"/>
          <w:color w:val="auto"/>
          <w:highlight w:val="none"/>
        </w:rPr>
        <w:t>。</w:t>
      </w:r>
    </w:p>
    <w:p w14:paraId="101C8525">
      <w:pPr>
        <w:pageBreakBefore w:val="0"/>
        <w:widowControl w:val="0"/>
        <w:spacing w:line="360" w:lineRule="auto"/>
        <w:ind w:firstLine="5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1年</w:t>
      </w:r>
    </w:p>
    <w:p w14:paraId="3D9D4FCC">
      <w:pPr>
        <w:pageBreakBefore w:val="0"/>
        <w:widowControl w:val="0"/>
        <w:spacing w:line="360" w:lineRule="auto"/>
        <w:ind w:firstLine="560"/>
        <w:rPr>
          <w:rFonts w:hint="eastAsia" w:ascii="宋体" w:hAnsi="宋体" w:eastAsia="宋体" w:cs="宋体"/>
          <w:color w:val="auto"/>
          <w:sz w:val="24"/>
          <w:szCs w:val="24"/>
          <w:highlight w:val="none"/>
        </w:rPr>
      </w:pPr>
      <w:bookmarkStart w:id="13" w:name="_Toc35393622"/>
      <w:bookmarkStart w:id="14" w:name="_Toc38985264"/>
      <w:bookmarkStart w:id="15" w:name="_Toc28359003"/>
      <w:bookmarkStart w:id="16" w:name="_Toc35393791"/>
      <w:bookmarkStart w:id="17" w:name="_Toc28359080"/>
      <w:r>
        <w:rPr>
          <w:rFonts w:hint="eastAsia" w:ascii="宋体" w:hAnsi="宋体" w:eastAsia="宋体" w:cs="宋体"/>
          <w:color w:val="auto"/>
          <w:sz w:val="24"/>
          <w:szCs w:val="24"/>
          <w:highlight w:val="none"/>
        </w:rPr>
        <w:t>本项目（是/否）接受联合体投标：否</w:t>
      </w:r>
    </w:p>
    <w:p w14:paraId="1DFD4B0A">
      <w:pPr>
        <w:pStyle w:val="27"/>
        <w:pageBreakBefore w:val="0"/>
        <w:widowControl w:val="0"/>
        <w:spacing w:beforeAutospacing="0" w:afterAutospacing="0" w:line="360" w:lineRule="auto"/>
        <w:ind w:firstLine="56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13"/>
      <w:bookmarkEnd w:id="14"/>
      <w:bookmarkEnd w:id="15"/>
      <w:bookmarkEnd w:id="16"/>
      <w:bookmarkEnd w:id="17"/>
    </w:p>
    <w:p w14:paraId="363FA0F9">
      <w:pPr>
        <w:pStyle w:val="27"/>
        <w:pageBreakBefore w:val="0"/>
        <w:widowControl w:val="0"/>
        <w:spacing w:beforeAutospacing="0" w:afterAutospacing="0" w:line="360" w:lineRule="auto"/>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满足《中华人民共和国政府采购法》第二十二条规定，并提供下列材料：</w:t>
      </w:r>
    </w:p>
    <w:p w14:paraId="45126A57">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1.法人或者其他组织的营业执照等证明文件，自然人的身份证明；</w:t>
      </w:r>
    </w:p>
    <w:p w14:paraId="474EC843">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上一年度的财务状况报表（成立不满一年无需提供）；</w:t>
      </w:r>
    </w:p>
    <w:p w14:paraId="708DFDAF">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具备履行合同所必需的设备和专业技术能力的书面声明；</w:t>
      </w:r>
    </w:p>
    <w:p w14:paraId="73367CBA">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5C83450">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参加政府采购活动前3年内在经营活动中没有重大违法记录的书面声明</w:t>
      </w:r>
      <w:r>
        <w:rPr>
          <w:rFonts w:hint="eastAsia" w:ascii="宋体" w:hAnsi="宋体" w:eastAsia="宋体" w:cs="宋体"/>
          <w:color w:val="auto"/>
          <w:highlight w:val="none"/>
          <w:lang w:eastAsia="zh-CN"/>
        </w:rPr>
        <w:t>；</w:t>
      </w:r>
    </w:p>
    <w:p w14:paraId="632A2ECE">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6</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法律、行政法规规定的其他条件</w:t>
      </w:r>
      <w:r>
        <w:rPr>
          <w:rFonts w:hint="eastAsia" w:ascii="宋体" w:hAnsi="宋体" w:eastAsia="宋体" w:cs="宋体"/>
          <w:color w:val="auto"/>
          <w:highlight w:val="none"/>
          <w:lang w:eastAsia="zh-CN"/>
        </w:rPr>
        <w:t>；</w:t>
      </w:r>
    </w:p>
    <w:p w14:paraId="4CB540DD">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7</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在“信用中国”网站查询，无被列入失信被执行人、重大税收违法案件当事人名单、政府采购严重失信行为记录名单</w:t>
      </w:r>
      <w:r>
        <w:rPr>
          <w:rFonts w:hint="eastAsia" w:ascii="宋体" w:hAnsi="宋体" w:eastAsia="宋体" w:cs="宋体"/>
          <w:color w:val="auto"/>
          <w:highlight w:val="none"/>
          <w:lang w:eastAsia="zh-CN"/>
        </w:rPr>
        <w:t>；</w:t>
      </w:r>
    </w:p>
    <w:p w14:paraId="5EFB3C16">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8</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单位负责人为同一人或者存在直接控股、管理关系的不同供应商，不得参加同一合同项下的政府采购活动。</w:t>
      </w:r>
    </w:p>
    <w:p w14:paraId="407DFD3D">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落实政府采购政策需满足的资格要求：本项目为服务类采购项目，</w:t>
      </w:r>
      <w:r>
        <w:rPr>
          <w:rFonts w:hint="eastAsia" w:ascii="宋体" w:hAnsi="宋体" w:eastAsia="宋体" w:cs="宋体"/>
          <w:color w:val="auto"/>
          <w:highlight w:val="none"/>
          <w:lang w:val="en-US" w:eastAsia="zh-CN"/>
        </w:rPr>
        <w:t>采购标的</w:t>
      </w:r>
      <w:r>
        <w:rPr>
          <w:rFonts w:hint="eastAsia" w:ascii="宋体" w:hAnsi="宋体" w:eastAsia="宋体" w:cs="宋体"/>
          <w:color w:val="auto"/>
          <w:highlight w:val="none"/>
        </w:rPr>
        <w:t>所属</w:t>
      </w:r>
      <w:r>
        <w:rPr>
          <w:rFonts w:hint="eastAsia" w:ascii="宋体" w:hAnsi="宋体" w:eastAsia="宋体" w:cs="宋体"/>
          <w:color w:val="auto"/>
          <w:highlight w:val="none"/>
          <w:lang w:val="en-US" w:eastAsia="zh-CN"/>
        </w:rPr>
        <w:t>行业为</w:t>
      </w:r>
      <w:r>
        <w:rPr>
          <w:rFonts w:hint="eastAsia" w:ascii="宋体" w:hAnsi="宋体" w:eastAsia="宋体" w:cs="宋体"/>
          <w:color w:val="auto"/>
          <w:highlight w:val="none"/>
          <w:lang w:eastAsia="zh-CN"/>
        </w:rPr>
        <w:t>工业</w:t>
      </w:r>
      <w:r>
        <w:rPr>
          <w:rFonts w:hint="eastAsia" w:ascii="宋体" w:hAnsi="宋体" w:eastAsia="宋体" w:cs="宋体"/>
          <w:color w:val="auto"/>
          <w:highlight w:val="none"/>
        </w:rPr>
        <w:t>。根据《工业和信息化部、国家统计局、国家发展和改革委员会、财政部关于印发中小企业划型标准规定的通知》(工信部联企业〔2011〕300号)规定的划分标准填写</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6021BB67">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本项目的特定资格要求：</w:t>
      </w:r>
    </w:p>
    <w:p w14:paraId="33858D40">
      <w:pPr>
        <w:pStyle w:val="27"/>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000000"/>
          <w:highlight w:val="none"/>
        </w:rPr>
        <w:t>投标人须具有售电资质且在江苏省电力交易中心注册公示的售电公司（提供交易中心注册成功入市公告</w:t>
      </w:r>
      <w:r>
        <w:rPr>
          <w:rFonts w:hint="eastAsia" w:ascii="宋体" w:hAnsi="宋体" w:eastAsia="宋体" w:cs="宋体"/>
          <w:color w:val="000000"/>
          <w:highlight w:val="none"/>
          <w:lang w:val="en-US" w:eastAsia="zh-CN"/>
        </w:rPr>
        <w:t>或通知</w:t>
      </w:r>
      <w:r>
        <w:rPr>
          <w:rFonts w:hint="eastAsia" w:ascii="宋体" w:hAnsi="宋体" w:eastAsia="宋体" w:cs="宋体"/>
          <w:color w:val="000000"/>
          <w:highlight w:val="none"/>
        </w:rPr>
        <w:t>等有效证明材料）。</w:t>
      </w:r>
    </w:p>
    <w:p w14:paraId="6B9BA89F">
      <w:pPr>
        <w:pStyle w:val="27"/>
        <w:keepNext/>
        <w:keepLines/>
        <w:pageBreakBefore w:val="0"/>
        <w:spacing w:beforeAutospacing="0" w:afterAutospacing="0" w:line="360" w:lineRule="auto"/>
        <w:ind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bookmarkStart w:id="18" w:name="_Toc28359018"/>
    </w:p>
    <w:p w14:paraId="7E54B303">
      <w:pPr>
        <w:pStyle w:val="27"/>
        <w:keepNext/>
        <w:keepLines/>
        <w:pageBreakBefore w:val="0"/>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69634370">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地点：“苏采云”系统内免费下载（投标人必须在苏采云系统中获取采购文件，方能参与政府采购项目）</w:t>
      </w:r>
    </w:p>
    <w:p w14:paraId="7A537877">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方式：本项目采用网上注册登记方式</w:t>
      </w:r>
    </w:p>
    <w:p w14:paraId="4BBEEC52">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售价：0.00元</w:t>
      </w:r>
    </w:p>
    <w:p w14:paraId="54CBD05A">
      <w:pPr>
        <w:keepNext w:val="0"/>
        <w:keepLines w:val="0"/>
        <w:pageBreakBefore w:val="0"/>
        <w:spacing w:line="360" w:lineRule="auto"/>
        <w:ind w:firstLine="482"/>
        <w:rPr>
          <w:rFonts w:hint="eastAsia" w:ascii="宋体" w:hAnsi="宋体" w:cs="宋体" w:eastAsiaTheme="minorEastAsia"/>
          <w:b/>
          <w:bCs/>
          <w:color w:val="auto"/>
          <w:sz w:val="24"/>
          <w:highlight w:val="none"/>
          <w:lang w:eastAsia="zh-CN"/>
        </w:rPr>
      </w:pPr>
      <w:r>
        <w:rPr>
          <w:rFonts w:hint="eastAsia" w:ascii="宋体" w:hAnsi="宋体" w:cs="宋体"/>
          <w:b/>
          <w:bCs/>
          <w:color w:val="auto"/>
          <w:sz w:val="24"/>
          <w:highlight w:val="none"/>
        </w:rPr>
        <w:t>四、提交</w:t>
      </w:r>
      <w:r>
        <w:rPr>
          <w:rFonts w:hint="eastAsia" w:ascii="宋体" w:hAnsi="宋体" w:cs="宋体"/>
          <w:b/>
          <w:bCs/>
          <w:color w:val="auto"/>
          <w:sz w:val="24"/>
          <w:highlight w:val="none"/>
          <w:lang w:eastAsia="zh-CN"/>
        </w:rPr>
        <w:t>投标文件截止时间、开标时间和地点</w:t>
      </w:r>
    </w:p>
    <w:p w14:paraId="7EED38D4">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2025-12-04 09：30（北京时间）</w:t>
      </w:r>
    </w:p>
    <w:p w14:paraId="6A88DF35">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地点：苏采云“不见面”开标大厅</w:t>
      </w:r>
    </w:p>
    <w:p w14:paraId="1DA03B1B">
      <w:pPr>
        <w:keepNext w:val="0"/>
        <w:keepLines w:val="0"/>
        <w:pageBreakBefore w:val="0"/>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eastAsia="zh-CN"/>
        </w:rPr>
        <w:t>五</w:t>
      </w:r>
      <w:r>
        <w:rPr>
          <w:rFonts w:hint="eastAsia" w:ascii="宋体" w:hAnsi="宋体" w:cs="宋体"/>
          <w:b/>
          <w:bCs/>
          <w:color w:val="auto"/>
          <w:sz w:val="24"/>
          <w:highlight w:val="none"/>
        </w:rPr>
        <w:t>、公告期限</w:t>
      </w:r>
    </w:p>
    <w:p w14:paraId="334B5537">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自本公告发布之日起5个工作日。</w:t>
      </w:r>
    </w:p>
    <w:p w14:paraId="40459190">
      <w:pPr>
        <w:keepNext w:val="0"/>
        <w:keepLines w:val="0"/>
        <w:pageBreakBefore w:val="0"/>
        <w:kinsoku/>
        <w:wordWrap/>
        <w:overflowPunct/>
        <w:topLinePunct w:val="0"/>
        <w:autoSpaceDE/>
        <w:autoSpaceDN/>
        <w:bidi w:val="0"/>
        <w:adjustRightInd/>
        <w:snapToGrid w:val="0"/>
        <w:spacing w:line="360" w:lineRule="auto"/>
        <w:ind w:firstLine="482"/>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六、其他补充事宜</w:t>
      </w:r>
    </w:p>
    <w:p w14:paraId="6BE5389D">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3AA8CB9">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DC23961">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p>
    <w:p w14:paraId="6B21D537">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BA67DC0">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p>
    <w:p w14:paraId="4928C639">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p>
    <w:p w14:paraId="79481943">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p>
    <w:p w14:paraId="4401712E">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bookmarkStart w:id="174" w:name="_GoBack"/>
      <w:bookmarkEnd w:id="174"/>
    </w:p>
    <w:p w14:paraId="4706B170">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如潜在投标人未按上述要求操作，将自行承担所产生的风险。</w:t>
      </w:r>
    </w:p>
    <w:p w14:paraId="4813B6D4">
      <w:pPr>
        <w:pStyle w:val="235"/>
        <w:keepNext w:val="0"/>
        <w:keepLines w:val="0"/>
        <w:pageBreakBefore w:val="0"/>
        <w:kinsoku/>
        <w:wordWrap/>
        <w:overflowPunct/>
        <w:topLinePunct w:val="0"/>
        <w:autoSpaceDE/>
        <w:autoSpaceDN/>
        <w:bidi w:val="0"/>
        <w:adjustRightInd/>
        <w:snapToGrid w:val="0"/>
        <w:spacing w:beforeAutospacing="0" w:afterAutospacing="0" w:line="360" w:lineRule="auto"/>
        <w:ind w:firstLine="48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3.有关本次招标的事项若存在变动或修改，敬请及时关注江苏建威建设管理有限公司在“中国政府采购网”、“江苏政府采购网”、“盐城市政府采购网”发布的更正公告。</w:t>
      </w:r>
    </w:p>
    <w:p w14:paraId="5CE7EBD0">
      <w:pPr>
        <w:keepNext w:val="0"/>
        <w:keepLines w:val="0"/>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000000"/>
          <w:sz w:val="24"/>
          <w:szCs w:val="24"/>
          <w:highlight w:val="none"/>
          <w:shd w:val="clear" w:color="auto" w:fill="auto"/>
          <w:lang w:val="en-US" w:eastAsia="zh-CN"/>
        </w:rPr>
        <w:t>4.本次招标不收取投标保证金，不收取质量保证金。</w:t>
      </w:r>
    </w:p>
    <w:p w14:paraId="05039B3E">
      <w:pPr>
        <w:keepNext w:val="0"/>
        <w:keepLines w:val="0"/>
        <w:pageBreakBefore w:val="0"/>
        <w:spacing w:line="360" w:lineRule="auto"/>
        <w:ind w:firstLine="48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七、对本次招标提出询问，请按以下方式联系。</w:t>
      </w:r>
      <w:bookmarkEnd w:id="18"/>
    </w:p>
    <w:p w14:paraId="1A457707">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4DE08C50">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称：盐城市路灯管理处</w:t>
      </w:r>
    </w:p>
    <w:p w14:paraId="5D6A53EB">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址：盐城市解放南路150号</w:t>
      </w:r>
    </w:p>
    <w:p w14:paraId="4128A906">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人：尤先生</w:t>
      </w:r>
    </w:p>
    <w:p w14:paraId="1B582DFC">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联系电话：0515-88410080</w:t>
      </w:r>
    </w:p>
    <w:p w14:paraId="39E25DF2">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5B7B6729">
      <w:pPr>
        <w:keepNext w:val="0"/>
        <w:keepLines w:val="0"/>
        <w:pageBreakBefore w:val="0"/>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江苏建安工程管理咨询有限公司</w:t>
      </w:r>
    </w:p>
    <w:p w14:paraId="5DA07DF6">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b w:val="0"/>
          <w:bCs/>
          <w:color w:val="auto"/>
          <w:sz w:val="24"/>
          <w:szCs w:val="24"/>
          <w:highlight w:val="none"/>
          <w:u w:val="none"/>
          <w:lang w:val="en-US" w:eastAsia="zh-CN"/>
        </w:rPr>
        <w:t>射阳县城幸福华城E1-5号楼214-223号</w:t>
      </w:r>
    </w:p>
    <w:p w14:paraId="5614A3FC">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val="en-US" w:eastAsia="zh-CN"/>
        </w:rPr>
        <w:t>倪</w:t>
      </w:r>
      <w:r>
        <w:rPr>
          <w:rFonts w:hint="eastAsia" w:ascii="宋体" w:hAnsi="宋体" w:eastAsia="宋体" w:cs="宋体"/>
          <w:color w:val="auto"/>
          <w:sz w:val="24"/>
          <w:highlight w:val="none"/>
        </w:rPr>
        <w:t>先生</w:t>
      </w:r>
    </w:p>
    <w:p w14:paraId="3387A6F8">
      <w:pPr>
        <w:keepNext w:val="0"/>
        <w:keepLines w:val="0"/>
        <w:pageBreakBefore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联系电话：1</w:t>
      </w:r>
      <w:r>
        <w:rPr>
          <w:rFonts w:hint="eastAsia" w:ascii="宋体" w:hAnsi="宋体" w:eastAsia="宋体" w:cs="宋体"/>
          <w:color w:val="auto"/>
          <w:sz w:val="24"/>
          <w:highlight w:val="none"/>
          <w:lang w:val="en-US" w:eastAsia="zh-CN"/>
        </w:rPr>
        <w:t>8452509777</w:t>
      </w:r>
    </w:p>
    <w:p w14:paraId="17B9FF42">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38B10D6A">
      <w:pPr>
        <w:keepNext w:val="0"/>
        <w:keepLines w:val="0"/>
        <w:pageBreakBefore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倪</w:t>
      </w:r>
      <w:r>
        <w:rPr>
          <w:rFonts w:hint="eastAsia" w:ascii="宋体" w:hAnsi="宋体" w:eastAsia="宋体" w:cs="宋体"/>
          <w:color w:val="auto"/>
          <w:sz w:val="24"/>
          <w:highlight w:val="none"/>
        </w:rPr>
        <w:t xml:space="preserve">先生 </w:t>
      </w:r>
    </w:p>
    <w:p w14:paraId="085E4EB2">
      <w:pPr>
        <w:keepNext w:val="0"/>
        <w:keepLines w:val="0"/>
        <w:pageBreakBefore w:val="0"/>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联系电话：1</w:t>
      </w:r>
      <w:r>
        <w:rPr>
          <w:rFonts w:hint="eastAsia" w:ascii="宋体" w:hAnsi="宋体" w:eastAsia="宋体" w:cs="宋体"/>
          <w:color w:val="auto"/>
          <w:sz w:val="24"/>
          <w:highlight w:val="none"/>
          <w:lang w:val="en-US" w:eastAsia="zh-CN"/>
        </w:rPr>
        <w:t>8452509777</w:t>
      </w:r>
    </w:p>
    <w:p w14:paraId="6F76E3E7">
      <w:pPr>
        <w:rPr>
          <w:rFonts w:hint="eastAsia" w:ascii="宋体" w:hAnsi="宋体" w:eastAsia="宋体" w:cs="宋体"/>
          <w:b/>
          <w:color w:val="auto"/>
          <w:sz w:val="44"/>
          <w:szCs w:val="44"/>
          <w:highlight w:val="none"/>
        </w:rPr>
      </w:pPr>
      <w:bookmarkStart w:id="19" w:name="_Toc120614211"/>
      <w:r>
        <w:rPr>
          <w:rFonts w:hint="eastAsia" w:ascii="宋体" w:hAnsi="宋体" w:eastAsia="宋体" w:cs="宋体"/>
          <w:b/>
          <w:color w:val="auto"/>
          <w:sz w:val="44"/>
          <w:szCs w:val="44"/>
          <w:highlight w:val="none"/>
        </w:rPr>
        <w:br w:type="page" w:clear="all"/>
      </w:r>
    </w:p>
    <w:p w14:paraId="32116C3C">
      <w:pPr>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19"/>
      <w:bookmarkStart w:id="20" w:name="_Toc513029202"/>
      <w:bookmarkStart w:id="21" w:name="_Toc16938518"/>
      <w:bookmarkStart w:id="22" w:name="_Toc20823274"/>
      <w:bookmarkStart w:id="23" w:name="_Toc120614213"/>
      <w:r>
        <w:rPr>
          <w:rFonts w:hint="eastAsia" w:ascii="宋体" w:hAnsi="宋体" w:eastAsia="宋体" w:cs="宋体"/>
          <w:b/>
          <w:color w:val="auto"/>
          <w:sz w:val="44"/>
          <w:szCs w:val="44"/>
          <w:highlight w:val="none"/>
        </w:rPr>
        <w:t>投标人须知</w:t>
      </w:r>
      <w:bookmarkEnd w:id="20"/>
      <w:bookmarkEnd w:id="21"/>
      <w:bookmarkEnd w:id="22"/>
      <w:bookmarkEnd w:id="23"/>
    </w:p>
    <w:p w14:paraId="24C3739B">
      <w:pPr>
        <w:pStyle w:val="27"/>
        <w:keepNext/>
        <w:keepLines/>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24" w:name="_Toc120614214"/>
      <w:bookmarkStart w:id="25" w:name="_Toc20823275"/>
      <w:bookmarkStart w:id="26" w:name="_Toc16938519"/>
      <w:bookmarkStart w:id="27" w:name="_Toc513029203"/>
      <w:bookmarkStart w:id="28" w:name="_Hlt26954852"/>
      <w:bookmarkStart w:id="29" w:name="_Hlt26954848"/>
      <w:bookmarkStart w:id="30" w:name="_Hlt26954739"/>
      <w:bookmarkStart w:id="31" w:name="_Hlt16619475"/>
      <w:bookmarkStart w:id="32" w:name="_Hlt26954731"/>
      <w:bookmarkStart w:id="33" w:name="_Hlt26670486"/>
      <w:bookmarkStart w:id="34" w:name="_Toc513029226"/>
      <w:bookmarkStart w:id="35" w:name="_Hlt26670482"/>
      <w:bookmarkStart w:id="36" w:name="_Hlt26668975"/>
      <w:bookmarkStart w:id="37" w:name="_Hlt26954846"/>
      <w:bookmarkStart w:id="38" w:name="_Hlt26954838"/>
      <w:bookmarkStart w:id="39" w:name="_Hlt26670360"/>
      <w:r>
        <w:rPr>
          <w:rFonts w:hint="eastAsia" w:ascii="宋体" w:hAnsi="宋体" w:eastAsia="宋体" w:cs="宋体"/>
          <w:b/>
          <w:color w:val="auto"/>
          <w:highlight w:val="none"/>
        </w:rPr>
        <w:t>一、总则</w:t>
      </w:r>
      <w:bookmarkEnd w:id="24"/>
      <w:bookmarkEnd w:id="25"/>
      <w:bookmarkEnd w:id="26"/>
      <w:bookmarkEnd w:id="27"/>
    </w:p>
    <w:p w14:paraId="6DE15713">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40" w:name="_Toc20823276"/>
      <w:bookmarkStart w:id="41" w:name="_Toc16938520"/>
      <w:bookmarkStart w:id="42" w:name="_Toc513029204"/>
      <w:bookmarkStart w:id="43" w:name="_Toc458694821"/>
      <w:bookmarkStart w:id="44" w:name="OLE_LINK3"/>
      <w:r>
        <w:rPr>
          <w:rFonts w:hint="eastAsia" w:ascii="宋体" w:hAnsi="宋体" w:eastAsia="宋体" w:cs="宋体"/>
          <w:color w:val="auto"/>
          <w:highlight w:val="none"/>
        </w:rPr>
        <w:t>1</w:t>
      </w:r>
      <w:bookmarkEnd w:id="40"/>
      <w:r>
        <w:rPr>
          <w:rFonts w:hint="eastAsia" w:ascii="宋体" w:hAnsi="宋体" w:eastAsia="宋体" w:cs="宋体"/>
          <w:color w:val="auto"/>
          <w:highlight w:val="none"/>
        </w:rPr>
        <w:t>、招标方式</w:t>
      </w:r>
      <w:bookmarkEnd w:id="41"/>
      <w:bookmarkEnd w:id="42"/>
      <w:bookmarkEnd w:id="43"/>
    </w:p>
    <w:p w14:paraId="2EE558F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04DD6378">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45" w:name="_Toc513029205"/>
      <w:bookmarkStart w:id="46" w:name="_Toc20823277"/>
      <w:bookmarkStart w:id="47" w:name="_Toc16938521"/>
      <w:r>
        <w:rPr>
          <w:rFonts w:hint="eastAsia" w:ascii="宋体" w:hAnsi="宋体" w:eastAsia="宋体" w:cs="宋体"/>
          <w:color w:val="auto"/>
          <w:highlight w:val="none"/>
        </w:rPr>
        <w:t>2、合格的投标人</w:t>
      </w:r>
      <w:bookmarkEnd w:id="45"/>
      <w:bookmarkEnd w:id="46"/>
      <w:bookmarkEnd w:id="47"/>
    </w:p>
    <w:p w14:paraId="612DD13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425CE6C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2.2满足本文件实质性要求和条件的规定。</w:t>
      </w:r>
    </w:p>
    <w:p w14:paraId="2F85E426">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48" w:name="_Toc20823278"/>
      <w:bookmarkStart w:id="49" w:name="_Toc16938522"/>
      <w:bookmarkStart w:id="50" w:name="_Toc513029206"/>
      <w:r>
        <w:rPr>
          <w:rFonts w:hint="eastAsia" w:ascii="宋体" w:hAnsi="宋体" w:eastAsia="宋体" w:cs="宋体"/>
          <w:color w:val="auto"/>
          <w:highlight w:val="none"/>
        </w:rPr>
        <w:t>3、适用法律</w:t>
      </w:r>
      <w:bookmarkEnd w:id="48"/>
      <w:bookmarkEnd w:id="49"/>
      <w:bookmarkEnd w:id="50"/>
    </w:p>
    <w:p w14:paraId="1F2E215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52210C5A">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51" w:name="_Toc20823279"/>
      <w:bookmarkStart w:id="52" w:name="_Toc513029207"/>
      <w:bookmarkStart w:id="53" w:name="_Toc16938523"/>
      <w:bookmarkStart w:id="54" w:name="_Toc462564067"/>
      <w:r>
        <w:rPr>
          <w:rFonts w:hint="eastAsia" w:ascii="宋体" w:hAnsi="宋体" w:eastAsia="宋体" w:cs="宋体"/>
          <w:color w:val="auto"/>
          <w:highlight w:val="none"/>
        </w:rPr>
        <w:t>4、投标费用</w:t>
      </w:r>
      <w:bookmarkEnd w:id="51"/>
      <w:bookmarkEnd w:id="52"/>
      <w:bookmarkEnd w:id="53"/>
      <w:bookmarkEnd w:id="54"/>
    </w:p>
    <w:p w14:paraId="341B120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w:t>
      </w:r>
      <w:r>
        <w:rPr>
          <w:rFonts w:hint="eastAsia" w:ascii="宋体" w:hAnsi="宋体" w:eastAsia="宋体" w:cs="宋体"/>
          <w:color w:val="auto"/>
          <w:highlight w:val="none"/>
          <w:lang w:val="en-US" w:eastAsia="zh-CN"/>
        </w:rPr>
        <w:t>采购人和</w:t>
      </w:r>
      <w:r>
        <w:rPr>
          <w:rFonts w:hint="eastAsia" w:ascii="宋体" w:hAnsi="宋体" w:eastAsia="宋体" w:cs="宋体"/>
          <w:color w:val="auto"/>
          <w:highlight w:val="none"/>
          <w:lang w:eastAsia="zh-CN"/>
        </w:rPr>
        <w:t>江苏建安工程管理咨询有限公司</w:t>
      </w:r>
      <w:r>
        <w:rPr>
          <w:rFonts w:hint="eastAsia" w:ascii="宋体" w:hAnsi="宋体" w:eastAsia="宋体" w:cs="宋体"/>
          <w:color w:val="auto"/>
          <w:highlight w:val="none"/>
        </w:rPr>
        <w:t>（以下简称代理机构）在任何情况下均无义务和责任承担这些费用。</w:t>
      </w:r>
    </w:p>
    <w:p w14:paraId="1027BF0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4.2本次招标</w:t>
      </w:r>
      <w:r>
        <w:rPr>
          <w:rFonts w:hint="eastAsia" w:ascii="宋体" w:hAnsi="宋体" w:eastAsia="宋体" w:cs="宋体"/>
          <w:color w:val="auto"/>
          <w:highlight w:val="none"/>
          <w:lang w:val="en-US" w:eastAsia="zh-CN"/>
        </w:rPr>
        <w:t>采购人和</w:t>
      </w:r>
      <w:r>
        <w:rPr>
          <w:rFonts w:hint="eastAsia" w:ascii="宋体" w:hAnsi="宋体" w:eastAsia="宋体" w:cs="宋体"/>
          <w:color w:val="auto"/>
          <w:highlight w:val="none"/>
        </w:rPr>
        <w:t>代理机构不收取标书工本费与中标服务费。</w:t>
      </w:r>
    </w:p>
    <w:p w14:paraId="54C7F1E7">
      <w:pPr>
        <w:pStyle w:val="27"/>
        <w:pageBreakBefore w:val="0"/>
        <w:widowControl w:val="0"/>
        <w:spacing w:beforeAutospacing="0" w:afterAutospacing="0" w:line="360" w:lineRule="auto"/>
        <w:ind w:left="0" w:firstLine="48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4.3本项目不收取履约保证金。</w:t>
      </w:r>
    </w:p>
    <w:p w14:paraId="4D080B49">
      <w:pPr>
        <w:pStyle w:val="27"/>
        <w:keepNext/>
        <w:keepLines/>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招标文件的约束力</w:t>
      </w:r>
    </w:p>
    <w:p w14:paraId="1643DD2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3307419C">
      <w:pPr>
        <w:pStyle w:val="27"/>
        <w:keepNext/>
        <w:keepLines/>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55" w:name="_Toc513029209"/>
      <w:bookmarkStart w:id="56" w:name="_Toc16938525"/>
      <w:bookmarkStart w:id="57" w:name="_Toc20823281"/>
      <w:bookmarkStart w:id="58" w:name="_Toc120614215"/>
      <w:r>
        <w:rPr>
          <w:rFonts w:hint="eastAsia" w:ascii="宋体" w:hAnsi="宋体" w:eastAsia="宋体" w:cs="宋体"/>
          <w:b/>
          <w:color w:val="auto"/>
          <w:highlight w:val="none"/>
        </w:rPr>
        <w:t>二、招标文件</w:t>
      </w:r>
      <w:bookmarkEnd w:id="55"/>
      <w:bookmarkEnd w:id="56"/>
      <w:bookmarkEnd w:id="57"/>
      <w:bookmarkEnd w:id="58"/>
    </w:p>
    <w:p w14:paraId="59D65D39">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59" w:name="_Toc513029210"/>
      <w:bookmarkStart w:id="60" w:name="_Toc20823282"/>
      <w:bookmarkStart w:id="61" w:name="_Toc16938526"/>
      <w:r>
        <w:rPr>
          <w:rFonts w:hint="eastAsia" w:ascii="宋体" w:hAnsi="宋体" w:eastAsia="宋体" w:cs="宋体"/>
          <w:color w:val="auto"/>
          <w:highlight w:val="none"/>
        </w:rPr>
        <w:t>6、招标文件构成</w:t>
      </w:r>
      <w:bookmarkEnd w:id="59"/>
      <w:bookmarkEnd w:id="60"/>
      <w:bookmarkEnd w:id="61"/>
    </w:p>
    <w:p w14:paraId="23DEB6A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6.1招标文件由以下部分组成：</w:t>
      </w:r>
    </w:p>
    <w:p w14:paraId="63CC5ED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360803D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6665CFC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2E064F9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3F2379A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27E54CA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0B57818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w:t>
      </w:r>
      <w:r>
        <w:rPr>
          <w:rFonts w:hint="eastAsia" w:ascii="宋体" w:hAnsi="宋体" w:eastAsia="宋体" w:cs="宋体"/>
          <w:color w:val="auto"/>
          <w:highlight w:val="none"/>
          <w:lang w:val="en-US" w:eastAsia="zh-CN"/>
        </w:rPr>
        <w:t>代购人或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联系解决。</w:t>
      </w:r>
    </w:p>
    <w:p w14:paraId="3F74AB5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5F01FEA">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62" w:name="_Toc513029211"/>
      <w:bookmarkStart w:id="63" w:name="_Toc20823283"/>
      <w:bookmarkStart w:id="64" w:name="_Toc16938527"/>
      <w:bookmarkStart w:id="65" w:name="_Toc462564070"/>
      <w:r>
        <w:rPr>
          <w:rFonts w:hint="eastAsia" w:ascii="宋体" w:hAnsi="宋体" w:eastAsia="宋体" w:cs="宋体"/>
          <w:color w:val="auto"/>
          <w:highlight w:val="none"/>
        </w:rPr>
        <w:t>7、招标文件的澄清</w:t>
      </w:r>
      <w:bookmarkEnd w:id="62"/>
      <w:bookmarkEnd w:id="63"/>
      <w:bookmarkEnd w:id="64"/>
      <w:bookmarkEnd w:id="65"/>
    </w:p>
    <w:p w14:paraId="61979F7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w:t>
      </w:r>
      <w:r>
        <w:rPr>
          <w:rFonts w:hint="eastAsia" w:ascii="宋体" w:hAnsi="宋体" w:eastAsia="宋体" w:cs="宋体"/>
          <w:color w:val="auto"/>
          <w:szCs w:val="21"/>
          <w:highlight w:val="none"/>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w:t>
      </w:r>
    </w:p>
    <w:p w14:paraId="49B19822">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66" w:name="_Toc16938528"/>
      <w:bookmarkStart w:id="67" w:name="_Toc20823284"/>
      <w:bookmarkStart w:id="68" w:name="_Toc513029212"/>
      <w:bookmarkStart w:id="69" w:name="_Toc462564071"/>
      <w:r>
        <w:rPr>
          <w:rFonts w:hint="eastAsia" w:ascii="宋体" w:hAnsi="宋体" w:eastAsia="宋体" w:cs="宋体"/>
          <w:color w:val="auto"/>
          <w:highlight w:val="none"/>
        </w:rPr>
        <w:t>8、招标文件的修改</w:t>
      </w:r>
      <w:bookmarkEnd w:id="66"/>
      <w:bookmarkEnd w:id="67"/>
      <w:bookmarkEnd w:id="68"/>
      <w:bookmarkEnd w:id="69"/>
    </w:p>
    <w:p w14:paraId="615D3AC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8.1在投标截止时间前，</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可以对招标文件进行修改。</w:t>
      </w:r>
    </w:p>
    <w:p w14:paraId="1D48B5D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有权按照法定的要求推迟投标截止日期和开标日期。</w:t>
      </w:r>
    </w:p>
    <w:p w14:paraId="6D31F63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1EBF921C">
      <w:pPr>
        <w:pStyle w:val="27"/>
        <w:keepNext/>
        <w:keepLines/>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70" w:name="_Toc120614216"/>
      <w:bookmarkStart w:id="71" w:name="_Toc462564072"/>
      <w:bookmarkStart w:id="72" w:name="_Toc513029213"/>
      <w:bookmarkStart w:id="73" w:name="_Toc16938529"/>
      <w:bookmarkStart w:id="74" w:name="_Toc20823285"/>
      <w:r>
        <w:rPr>
          <w:rFonts w:hint="eastAsia" w:ascii="宋体" w:hAnsi="宋体" w:eastAsia="宋体" w:cs="宋体"/>
          <w:b/>
          <w:color w:val="auto"/>
          <w:highlight w:val="none"/>
        </w:rPr>
        <w:t>三、投标文件的编制</w:t>
      </w:r>
      <w:bookmarkEnd w:id="70"/>
      <w:bookmarkEnd w:id="71"/>
      <w:bookmarkEnd w:id="72"/>
      <w:bookmarkEnd w:id="73"/>
      <w:bookmarkEnd w:id="74"/>
    </w:p>
    <w:p w14:paraId="34A17446">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75" w:name="_Toc462564073"/>
      <w:bookmarkStart w:id="76" w:name="_Toc20823286"/>
      <w:bookmarkStart w:id="77" w:name="_Toc513029214"/>
      <w:bookmarkStart w:id="78" w:name="_Toc16938530"/>
      <w:r>
        <w:rPr>
          <w:rFonts w:hint="eastAsia" w:ascii="宋体" w:hAnsi="宋体" w:eastAsia="宋体" w:cs="宋体"/>
          <w:color w:val="auto"/>
          <w:highlight w:val="none"/>
        </w:rPr>
        <w:t>9、投标文件的语言及度量衡单位</w:t>
      </w:r>
      <w:bookmarkEnd w:id="75"/>
      <w:bookmarkEnd w:id="76"/>
      <w:bookmarkEnd w:id="77"/>
      <w:bookmarkEnd w:id="78"/>
    </w:p>
    <w:p w14:paraId="5F21590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9.1投标人提交的投标文件以及投标人与</w:t>
      </w:r>
      <w:r>
        <w:rPr>
          <w:rFonts w:hint="eastAsia" w:ascii="宋体" w:hAnsi="宋体" w:eastAsia="宋体" w:cs="宋体"/>
          <w:color w:val="auto"/>
          <w:szCs w:val="21"/>
          <w:highlight w:val="none"/>
        </w:rPr>
        <w:t>采购人或</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5FBEDEA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53463AC3">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79" w:name="_Toc513029215"/>
      <w:bookmarkStart w:id="80" w:name="_Toc20823287"/>
      <w:bookmarkStart w:id="81" w:name="_Toc16938531"/>
      <w:bookmarkStart w:id="82" w:name="_Toc462564074"/>
      <w:r>
        <w:rPr>
          <w:rFonts w:hint="eastAsia" w:ascii="宋体" w:hAnsi="宋体" w:eastAsia="宋体" w:cs="宋体"/>
          <w:color w:val="auto"/>
          <w:highlight w:val="none"/>
        </w:rPr>
        <w:t>10、投标文件构成</w:t>
      </w:r>
      <w:bookmarkEnd w:id="79"/>
      <w:bookmarkEnd w:id="80"/>
      <w:bookmarkEnd w:id="81"/>
      <w:bookmarkEnd w:id="82"/>
    </w:p>
    <w:p w14:paraId="7AE2891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5E4EBE6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发布的招标文件不一致，请以中国政府采购网”“江苏政府采购网”“盐城市政府采购网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发布的招标文件为准。</w:t>
      </w:r>
    </w:p>
    <w:p w14:paraId="59830343">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83" w:name="_Toc49090508"/>
      <w:bookmarkStart w:id="84" w:name="_Toc513029216"/>
      <w:bookmarkStart w:id="85" w:name="_Toc513029219"/>
      <w:bookmarkStart w:id="86" w:name="_Toc14577357"/>
      <w:bookmarkStart w:id="87" w:name="_Toc14577355"/>
      <w:bookmarkStart w:id="88" w:name="_Toc49090507"/>
      <w:bookmarkStart w:id="89" w:name="_Toc14577354"/>
      <w:bookmarkStart w:id="90" w:name="_Toc49090509"/>
      <w:r>
        <w:rPr>
          <w:rFonts w:hint="eastAsia" w:ascii="宋体" w:hAnsi="宋体" w:eastAsia="宋体" w:cs="宋体"/>
          <w:color w:val="auto"/>
          <w:highlight w:val="none"/>
        </w:rPr>
        <w:t>11、证明投标人及投标标的符合招标文件规定的文件</w:t>
      </w:r>
      <w:bookmarkEnd w:id="83"/>
      <w:bookmarkEnd w:id="84"/>
      <w:bookmarkEnd w:id="85"/>
      <w:bookmarkEnd w:id="86"/>
      <w:bookmarkEnd w:id="87"/>
      <w:bookmarkEnd w:id="88"/>
      <w:bookmarkEnd w:id="89"/>
      <w:bookmarkEnd w:id="90"/>
    </w:p>
    <w:p w14:paraId="0C494C2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11.1投标人应按照招标文件要求提交证明文件，证明其及投标标的符合招标文件规定。</w:t>
      </w:r>
    </w:p>
    <w:p w14:paraId="751876D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4CAC0988">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12、投标分项报价表</w:t>
      </w:r>
    </w:p>
    <w:p w14:paraId="3835B4A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12.1投标人应按照招标文件规定格式填报投标分项报价表。</w:t>
      </w:r>
    </w:p>
    <w:p w14:paraId="36C3E47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2341E7B3">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13、技术要求响应及偏离表、商务要求响应及偏离表</w:t>
      </w:r>
    </w:p>
    <w:p w14:paraId="59E7774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6CB846A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13.2投标人可在投标文件中提供认为需要的其他技术文件或说明。</w:t>
      </w:r>
    </w:p>
    <w:p w14:paraId="03D1B10D">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37CB5D7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14.1投标人需根据招标文件要求提供有关售后服务的管理制度，售后服务机构的分布情况，售后服务人员的数量、素质、技术水平及售后服务的反应能力等。</w:t>
      </w:r>
    </w:p>
    <w:p w14:paraId="50DAE6C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14.2投标人需根据招标文件要求提供培训计划。</w:t>
      </w:r>
    </w:p>
    <w:p w14:paraId="206509D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14.3投标人需根据招标文件要求提供所投标的的主要组成部分、功能设计、实现思路及关键技术等。</w:t>
      </w:r>
    </w:p>
    <w:p w14:paraId="7A2A46C0">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91" w:name="_Toc49090510"/>
      <w:bookmarkStart w:id="92" w:name="_Toc14577359"/>
      <w:r>
        <w:rPr>
          <w:rFonts w:hint="eastAsia" w:ascii="宋体" w:hAnsi="宋体" w:eastAsia="宋体" w:cs="宋体"/>
          <w:color w:val="auto"/>
          <w:highlight w:val="none"/>
        </w:rPr>
        <w:t>15、投标函和开标一览表</w:t>
      </w:r>
      <w:bookmarkEnd w:id="91"/>
      <w:bookmarkEnd w:id="92"/>
    </w:p>
    <w:p w14:paraId="0CED0D3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15.1投标人应按照招标文件中提供的格式完整、正确填写投标函、开标一览表。</w:t>
      </w:r>
    </w:p>
    <w:p w14:paraId="67FAD1E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15.2对于采用货币报价的项目，开标一览表中的投标总报价应与投标分项报价表中的投标总报价一致，如不一致，不作为无效投标处理，但评标时按开标一览表中价格为准。</w:t>
      </w:r>
    </w:p>
    <w:p w14:paraId="61B07287">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93" w:name="_Toc49090511"/>
      <w:bookmarkStart w:id="94" w:name="_Toc14577360"/>
      <w:r>
        <w:rPr>
          <w:rFonts w:hint="eastAsia" w:ascii="宋体" w:hAnsi="宋体" w:eastAsia="宋体" w:cs="宋体"/>
          <w:color w:val="auto"/>
          <w:highlight w:val="none"/>
        </w:rPr>
        <w:t>16、投标有效期</w:t>
      </w:r>
      <w:bookmarkEnd w:id="93"/>
      <w:bookmarkEnd w:id="94"/>
    </w:p>
    <w:p w14:paraId="2B440AC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16.1投标有效期为</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规定的开标之日后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63D2033B">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17、投标有效期的延长</w:t>
      </w:r>
    </w:p>
    <w:p w14:paraId="4B495D0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17.1在特殊情况下，</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的这一要求而放弃投标，同意延长投标有效期的投标人既不能要求也不允许修改其投标文件。受投标有效期约束的所有权利与义务均延长至新的有效期。</w:t>
      </w:r>
    </w:p>
    <w:p w14:paraId="0CFE10E6">
      <w:pPr>
        <w:pStyle w:val="27"/>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95" w:name="_Toc120614217"/>
      <w:bookmarkStart w:id="96" w:name="_Toc20823296"/>
      <w:bookmarkStart w:id="97" w:name="_Toc16938540"/>
      <w:bookmarkStart w:id="98" w:name="_Toc513029224"/>
      <w:r>
        <w:rPr>
          <w:rFonts w:hint="eastAsia" w:ascii="宋体" w:hAnsi="宋体" w:eastAsia="宋体" w:cs="宋体"/>
          <w:b/>
          <w:color w:val="auto"/>
          <w:highlight w:val="none"/>
        </w:rPr>
        <w:t>四、投标文件的递交</w:t>
      </w:r>
      <w:bookmarkEnd w:id="95"/>
      <w:bookmarkEnd w:id="96"/>
      <w:bookmarkEnd w:id="97"/>
      <w:bookmarkEnd w:id="98"/>
    </w:p>
    <w:p w14:paraId="53BAA12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99" w:name="_Toc16938541"/>
      <w:bookmarkStart w:id="100" w:name="_Toc462564084"/>
      <w:bookmarkStart w:id="101" w:name="_Toc513029225"/>
      <w:bookmarkStart w:id="102" w:name="_Toc20823297"/>
      <w:r>
        <w:rPr>
          <w:rFonts w:hint="eastAsia" w:ascii="宋体" w:hAnsi="宋体" w:eastAsia="宋体" w:cs="宋体"/>
          <w:color w:val="auto"/>
          <w:highlight w:val="none"/>
        </w:rPr>
        <w:t>18、电子投标文件</w:t>
      </w:r>
      <w:bookmarkEnd w:id="99"/>
      <w:bookmarkEnd w:id="100"/>
      <w:bookmarkEnd w:id="101"/>
      <w:bookmarkEnd w:id="102"/>
      <w:r>
        <w:rPr>
          <w:rFonts w:hint="eastAsia" w:ascii="宋体" w:hAnsi="宋体" w:eastAsia="宋体" w:cs="宋体"/>
          <w:color w:val="auto"/>
          <w:highlight w:val="none"/>
        </w:rPr>
        <w:t>的递交</w:t>
      </w:r>
    </w:p>
    <w:p w14:paraId="521CD27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18.1投标人应当按照《操作手册》规定，在投标截止时间前制作并上传电子投标文件。</w:t>
      </w:r>
      <w:bookmarkStart w:id="103" w:name="_Toc20823298"/>
      <w:bookmarkEnd w:id="103"/>
      <w:bookmarkStart w:id="104" w:name="_Toc16938542"/>
      <w:bookmarkEnd w:id="104"/>
    </w:p>
    <w:p w14:paraId="420B7C3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19、投标截止日期</w:t>
      </w:r>
    </w:p>
    <w:p w14:paraId="0CDC6FA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19.1投标人上传电子投标文件的时间不得迟于招标公告中规定的投标截止时间。</w:t>
      </w:r>
    </w:p>
    <w:p w14:paraId="0EECF9C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投标人应充分考虑到网络环境、网络带宽等风险因素，如因投标人自身原因造成的电子投标文件上传不成功的按照本招标文件第二章第27.1.2条规定做无效投标处理。</w:t>
      </w:r>
    </w:p>
    <w:p w14:paraId="250B021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19.2</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可以按照规定，通过修改招标文件酌情延长投标截止日期，在此情况下，投标人的所有权利和义务以及投标人受制的截止日期均应以延长后新的截止日期为准。</w:t>
      </w:r>
    </w:p>
    <w:p w14:paraId="7F5D6FFC">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05" w:name="_Toc513029227"/>
      <w:bookmarkStart w:id="106" w:name="_Toc16938543"/>
      <w:bookmarkStart w:id="107" w:name="_Toc20823299"/>
      <w:r>
        <w:rPr>
          <w:rFonts w:hint="eastAsia" w:ascii="宋体" w:hAnsi="宋体" w:eastAsia="宋体" w:cs="宋体"/>
          <w:color w:val="auto"/>
          <w:highlight w:val="none"/>
        </w:rPr>
        <w:t>20、投标文件</w:t>
      </w:r>
      <w:bookmarkEnd w:id="105"/>
      <w:bookmarkEnd w:id="106"/>
      <w:bookmarkEnd w:id="107"/>
      <w:r>
        <w:rPr>
          <w:rFonts w:hint="eastAsia" w:ascii="宋体" w:hAnsi="宋体" w:eastAsia="宋体" w:cs="宋体"/>
          <w:color w:val="auto"/>
          <w:highlight w:val="none"/>
        </w:rPr>
        <w:t>的拒收</w:t>
      </w:r>
    </w:p>
    <w:p w14:paraId="1BB9643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拒绝接收在其规定的投标截止时间后上传的任何投标文件。</w:t>
      </w:r>
    </w:p>
    <w:p w14:paraId="2B0D0A6E">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08" w:name="_Toc513029228"/>
      <w:bookmarkStart w:id="109" w:name="_Toc16938544"/>
      <w:bookmarkStart w:id="110" w:name="_Toc20823300"/>
      <w:r>
        <w:rPr>
          <w:rFonts w:hint="eastAsia" w:ascii="宋体" w:hAnsi="宋体" w:eastAsia="宋体" w:cs="宋体"/>
          <w:color w:val="auto"/>
          <w:highlight w:val="none"/>
        </w:rPr>
        <w:t>21、投标文件的撤回和修改</w:t>
      </w:r>
      <w:bookmarkEnd w:id="108"/>
      <w:bookmarkEnd w:id="109"/>
      <w:bookmarkEnd w:id="110"/>
    </w:p>
    <w:p w14:paraId="256BCA9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21.1投标文件的撤回</w:t>
      </w:r>
    </w:p>
    <w:p w14:paraId="6191BE7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21.1.1电子投标文件的撤回</w:t>
      </w:r>
    </w:p>
    <w:p w14:paraId="76A5DD6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2CABE42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21.1.2投标人撤回电子投标文件，则认为其不再参与本项目投标活动。</w:t>
      </w:r>
    </w:p>
    <w:p w14:paraId="1EF0E23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21.2投标文件的修改</w:t>
      </w:r>
    </w:p>
    <w:p w14:paraId="4BA3B21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21.2.1投标人可在投标截止时间前，对其电子投标文件进行修改，具体操作方法见《操作手册》。</w:t>
      </w:r>
    </w:p>
    <w:p w14:paraId="2D5CE63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21.2.2在投标截止时间之后，投标人不得对其电子投标文件作任何修改。</w:t>
      </w:r>
    </w:p>
    <w:p w14:paraId="7548FF0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21.3在投标截止时间至招标文件中规定的投标有效期满之间的这段时间内，投标人不得撤回其投标。</w:t>
      </w:r>
    </w:p>
    <w:p w14:paraId="17E08AB3">
      <w:pPr>
        <w:pStyle w:val="27"/>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111" w:name="_Toc20823301"/>
      <w:bookmarkStart w:id="112" w:name="_Toc513029229"/>
      <w:bookmarkStart w:id="113" w:name="_Toc16938545"/>
      <w:bookmarkStart w:id="114" w:name="_Toc120614218"/>
      <w:r>
        <w:rPr>
          <w:rFonts w:hint="eastAsia" w:ascii="宋体" w:hAnsi="宋体" w:eastAsia="宋体" w:cs="宋体"/>
          <w:b/>
          <w:color w:val="auto"/>
          <w:highlight w:val="none"/>
        </w:rPr>
        <w:t>五、开标与评标</w:t>
      </w:r>
      <w:bookmarkEnd w:id="111"/>
      <w:bookmarkEnd w:id="112"/>
      <w:bookmarkEnd w:id="113"/>
      <w:bookmarkEnd w:id="114"/>
    </w:p>
    <w:p w14:paraId="3828A4E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15" w:name="_Toc513029230"/>
      <w:bookmarkStart w:id="116" w:name="_Toc16938546"/>
      <w:bookmarkStart w:id="117" w:name="_Toc20823302"/>
      <w:r>
        <w:rPr>
          <w:rFonts w:hint="eastAsia" w:ascii="宋体" w:hAnsi="宋体" w:eastAsia="宋体" w:cs="宋体"/>
          <w:color w:val="auto"/>
          <w:highlight w:val="none"/>
        </w:rPr>
        <w:t>22、开标</w:t>
      </w:r>
      <w:bookmarkEnd w:id="115"/>
      <w:bookmarkEnd w:id="116"/>
      <w:bookmarkEnd w:id="117"/>
    </w:p>
    <w:p w14:paraId="3D79428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7502B5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22.2开标仪式由</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组织。苏采云系统将自动对项目进行开标，并宣布各投标人名称和投标价格。</w:t>
      </w:r>
    </w:p>
    <w:p w14:paraId="6693072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22.3投标人在开标过程中涉及到的投标文件解密、开标结果确认等工作，应按照《操作手册》规定执行。</w:t>
      </w:r>
    </w:p>
    <w:p w14:paraId="24474C0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22.4投标人如果对开标过程和开标记录有疑义，应当根据《操作手册》规定提出，如 苏采云系统中《开标记录表》宣布后5分钟内未提出的，视同认可开标结果。</w:t>
      </w:r>
    </w:p>
    <w:p w14:paraId="6B72E2C6">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18" w:name="_Toc513029231"/>
      <w:bookmarkStart w:id="119" w:name="_Toc20823303"/>
      <w:bookmarkStart w:id="120" w:name="_Toc16938547"/>
      <w:r>
        <w:rPr>
          <w:rFonts w:hint="eastAsia" w:ascii="宋体" w:hAnsi="宋体" w:eastAsia="宋体" w:cs="宋体"/>
          <w:color w:val="auto"/>
          <w:highlight w:val="none"/>
        </w:rPr>
        <w:t>23、评标委员会</w:t>
      </w:r>
      <w:bookmarkEnd w:id="118"/>
      <w:bookmarkEnd w:id="119"/>
      <w:bookmarkEnd w:id="120"/>
    </w:p>
    <w:p w14:paraId="4AD42CE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23.1开标后，</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将立即组织评标委员会（以下简称评委会）进行评标。</w:t>
      </w:r>
    </w:p>
    <w:p w14:paraId="3104F33A">
      <w:pPr>
        <w:pStyle w:val="27"/>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23.2评委会由采购人代表和有关技术、经济等方面的专家组成，且人员构成符合政府采购有关规定。</w:t>
      </w:r>
    </w:p>
    <w:p w14:paraId="042F903F">
      <w:pPr>
        <w:pStyle w:val="27"/>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r>
        <w:rPr>
          <w:rFonts w:hint="eastAsia" w:ascii="宋体" w:hAnsi="宋体" w:eastAsia="宋体" w:cs="宋体"/>
          <w:color w:val="auto"/>
          <w:highlight w:val="none"/>
        </w:rPr>
        <w:t>23.3评委会独立工作，负责评审所有投标文件并确定中标候选人。</w:t>
      </w:r>
    </w:p>
    <w:p w14:paraId="04D8F347">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评标过程的保密与公正</w:t>
      </w:r>
    </w:p>
    <w:p w14:paraId="5BFA612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24.1凡是与审查、澄清、评价和比较投标的有关资料以及授标建议等，采购人、评委、</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均不得向投标人或与评标无关的其他人员透露。</w:t>
      </w:r>
    </w:p>
    <w:p w14:paraId="4F88706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24.2在评标过程中，投标人不得以任何行为影响评标过程，否则其投标文件将被作为无效投标文件。</w:t>
      </w:r>
    </w:p>
    <w:p w14:paraId="47037BD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和评标委员会不向未中标的投标人解释未中标原因，也不公布评标过程中的相关细节。</w:t>
      </w:r>
    </w:p>
    <w:p w14:paraId="69059EE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24.4采用综合评分法的项目，未中标的投标人可于中标结果公告期限届满之日起通过苏采云系统查看自己的评审得分及排序情况。</w:t>
      </w:r>
    </w:p>
    <w:p w14:paraId="17018FAF">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21" w:name="_Toc20823304"/>
      <w:bookmarkStart w:id="122" w:name="_Toc16938548"/>
      <w:bookmarkStart w:id="123" w:name="_Toc513029232"/>
      <w:r>
        <w:rPr>
          <w:rFonts w:hint="eastAsia" w:ascii="宋体" w:hAnsi="宋体" w:eastAsia="宋体" w:cs="宋体"/>
          <w:color w:val="auto"/>
          <w:highlight w:val="none"/>
        </w:rPr>
        <w:t>25</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投标文件的澄清</w:t>
      </w:r>
      <w:bookmarkEnd w:id="121"/>
      <w:bookmarkEnd w:id="122"/>
      <w:bookmarkEnd w:id="123"/>
    </w:p>
    <w:p w14:paraId="02E799D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24" w:name="_Toc16938549"/>
      <w:bookmarkStart w:id="125" w:name="_Toc513029233"/>
      <w:bookmarkStart w:id="126" w:name="_Toc20823305"/>
      <w:r>
        <w:rPr>
          <w:rFonts w:hint="eastAsia" w:ascii="宋体" w:hAnsi="宋体" w:eastAsia="宋体" w:cs="宋体"/>
          <w:color w:val="auto"/>
          <w:highlight w:val="none"/>
        </w:rPr>
        <w:t>25.1评标期间，评委会对投标文件中含义不明确、同类问题表述不一致或者有明显文字和计算错误的内容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有权要求投标人作出必要的澄清、说明或者补正。</w:t>
      </w:r>
      <w:bookmarkEnd w:id="124"/>
      <w:bookmarkEnd w:id="125"/>
      <w:bookmarkEnd w:id="126"/>
    </w:p>
    <w:p w14:paraId="449B1A3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1660778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0934AAB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9E9767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25.3接到评委会澄清、说明和补正要求的投标人如未按规定作出澄清、说明和补正，其风险由投标人自行承担。</w:t>
      </w:r>
    </w:p>
    <w:p w14:paraId="2F8D03A4">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26、对投标文件的初审</w:t>
      </w:r>
    </w:p>
    <w:p w14:paraId="1F1C44B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26.1投标文件初审分为资格审查和符合性审查。</w:t>
      </w:r>
    </w:p>
    <w:p w14:paraId="1CC3974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26.1.1资格审查：依据法律法规和招标文件的规定，由采购人对投标文件中的资格证明文件进行审查。资格审查的结论，采购人以书面形式向评委会进行反馈。</w:t>
      </w:r>
    </w:p>
    <w:p w14:paraId="051E24B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4A49D07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54CB1A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26.1.2符合性审查：依据招标文件的规定，由评委会从投标文件的有效性、完整性和对招标文件的响应程度进行审查，以确定是否对招标文件的实质性要求作出响应。</w:t>
      </w:r>
    </w:p>
    <w:p w14:paraId="10195E5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26.1.3未通过资格审查或符合性审查的投标人，</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将在苏采云系统中告知未通过资格审查或符合性审查的原因，评审结束后，</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rPr>
        <w:t>将不再告知未通过资格审查或符合性审查的原因。</w:t>
      </w:r>
    </w:p>
    <w:p w14:paraId="03E7110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317E844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55046E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26.3如果投标文件实质上没有响应招标文件的要求，评委会将予以拒绝，投标人不得通过修改或撤销不符合要求的偏离或保留而使其投标成为实质性响应的投标。</w:t>
      </w:r>
    </w:p>
    <w:p w14:paraId="54FA564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26.4评委会将对确定为实质性响应的投标进行进一步审核，看其是否有计算上或累加上的算术错误，修正错误的原则如下：</w:t>
      </w:r>
    </w:p>
    <w:p w14:paraId="7A58A96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3E233B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38E64D6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56A570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F3B58A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427B05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0F40083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27" w:name="_Toc513029234"/>
      <w:bookmarkStart w:id="128" w:name="_Toc20823306"/>
      <w:bookmarkStart w:id="129" w:name="_Toc16938550"/>
      <w:r>
        <w:rPr>
          <w:rFonts w:hint="eastAsia" w:ascii="宋体" w:hAnsi="宋体" w:eastAsia="宋体" w:cs="宋体"/>
          <w:color w:val="auto"/>
          <w:highlight w:val="none"/>
        </w:rPr>
        <w:t>26.6采用最低评标价法的采购项目，提供相同品牌产品的不同投标人参加同一合同项下投标的，以其中通过资格审查、符合性审查且报价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投标优惠单价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最高</w:t>
      </w:r>
      <w:r>
        <w:rPr>
          <w:rFonts w:hint="eastAsia" w:ascii="宋体" w:hAnsi="宋体" w:eastAsia="宋体" w:cs="宋体"/>
          <w:color w:val="auto"/>
          <w:highlight w:val="none"/>
        </w:rPr>
        <w:t>的参加评标；报价相同的，由评标委员会按照招标文件规定的方式（招标文件未规定的通过随机抽取的方式）确定一个参加评标的投标人，其他投标无效。</w:t>
      </w:r>
      <w:bookmarkEnd w:id="127"/>
      <w:bookmarkEnd w:id="128"/>
      <w:bookmarkEnd w:id="129"/>
    </w:p>
    <w:p w14:paraId="396CD3F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0E13EC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629AB50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26.7投标人在开、评标全过程中应保持通信畅通，及时登录苏采云系统查阅、答复相关信息，并安排专人与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及评标委员会联系。</w:t>
      </w:r>
    </w:p>
    <w:p w14:paraId="2C72B324">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27、无效投标条款和废标条款</w:t>
      </w:r>
    </w:p>
    <w:p w14:paraId="2BBF98A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30" w:name="_Toc20823307"/>
      <w:bookmarkStart w:id="131" w:name="_Toc513029235"/>
      <w:bookmarkStart w:id="132" w:name="_Toc16938551"/>
      <w:r>
        <w:rPr>
          <w:rFonts w:hint="eastAsia" w:ascii="宋体" w:hAnsi="宋体" w:eastAsia="宋体" w:cs="宋体"/>
          <w:color w:val="auto"/>
          <w:highlight w:val="none"/>
        </w:rPr>
        <w:t>27.1无效投标条款</w:t>
      </w:r>
      <w:bookmarkEnd w:id="130"/>
      <w:bookmarkEnd w:id="131"/>
      <w:bookmarkEnd w:id="132"/>
    </w:p>
    <w:p w14:paraId="1F2BFB5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27.1.1投标人在苏采云系统规定的时间内未成功解密电子投标文件的。</w:t>
      </w:r>
    </w:p>
    <w:p w14:paraId="45B3690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27.1.2投标人未按照招标文件要求上传电子投标文件的。</w:t>
      </w:r>
    </w:p>
    <w:p w14:paraId="78290FC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27.1.3同一投标人提交两个（含两个）以上不同的投标报价的。</w:t>
      </w:r>
    </w:p>
    <w:p w14:paraId="6E1BDF6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27.1.4投标人不具备招标文件中规定资格要求的。</w:t>
      </w:r>
    </w:p>
    <w:p w14:paraId="46EE4CA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27.1.5投标人的报价超过了采购预算或最高限价的。</w:t>
      </w:r>
    </w:p>
    <w:p w14:paraId="7610D33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27.1.6未通过符合性审查的。</w:t>
      </w:r>
    </w:p>
    <w:p w14:paraId="20C6544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54ED9CE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607B1B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27.1.9投标文件含有采购人不能接受的附加条件的。</w:t>
      </w:r>
    </w:p>
    <w:p w14:paraId="0ECE5144">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DE0A44B">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（一）评审过程中出现下列情形之一的，评标委员会应当启动异常低价投标审查程序：</w:t>
      </w:r>
    </w:p>
    <w:p w14:paraId="3F2B525E">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1.投标报价低于采购项目预算50%的，即投标报价&lt;采购项目预算×50%；</w:t>
      </w:r>
    </w:p>
    <w:p w14:paraId="0012A9A4">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2.投标报价低于采购项目最高限价45%的，即投标报价&lt;采购项目最高限价×45%；</w:t>
      </w:r>
    </w:p>
    <w:p w14:paraId="71AEA3F0">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3.评标委员会认定的供应商报价过低、有可能影响产品质量或者不能诚信履约的其他情形。</w:t>
      </w:r>
    </w:p>
    <w:p w14:paraId="7C694F74">
      <w:pPr>
        <w:pStyle w:val="27"/>
        <w:pageBreakBefore w:val="0"/>
        <w:widowControl w:val="0"/>
        <w:spacing w:beforeAutospacing="0" w:afterAutospacing="0"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245F43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D62BA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27.1.12投标文件未按照招标文件要求加盖CA电子公章的。</w:t>
      </w:r>
    </w:p>
    <w:p w14:paraId="0343BFF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27.1.13其他法律、法规及本招标文件规定的属无效投标的情形。</w:t>
      </w:r>
    </w:p>
    <w:p w14:paraId="1612463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27.2废标条款</w:t>
      </w:r>
    </w:p>
    <w:p w14:paraId="7032CEFA">
      <w:pPr>
        <w:pStyle w:val="27"/>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27.2.1符合专业条件的供应商或者对招标文件作实质响应的供应商不足三家的。27.2.2出现影响采购公正的违法、违规行为的。</w:t>
      </w:r>
    </w:p>
    <w:p w14:paraId="7F0E2B5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27.2.3因重大变故，采购任务取消的。</w:t>
      </w:r>
    </w:p>
    <w:p w14:paraId="7DDC419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27.2.4评标委员会认定招标文件存在歧义、重大缺陷导致评审工作无法进行。</w:t>
      </w:r>
    </w:p>
    <w:p w14:paraId="45E8B14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27.2.5因苏采云系统故障原因造成开标不成功的。</w:t>
      </w:r>
    </w:p>
    <w:p w14:paraId="5046B4F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27.3投标截止时间结束后参加投标的供应商不足三家的处理：</w:t>
      </w:r>
    </w:p>
    <w:p w14:paraId="1FACA67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27.3.1如出现投标截止时间结束后参加投标的供应商或者在评标期间对招标文件做出实质响应的供应商不足三家情况，按政府采购相关规定执行。</w:t>
      </w:r>
    </w:p>
    <w:p w14:paraId="20E8B4F6">
      <w:pPr>
        <w:pStyle w:val="27"/>
        <w:pageBreakBefore w:val="0"/>
        <w:widowControl w:val="0"/>
        <w:spacing w:beforeAutospacing="0" w:afterAutospacing="0" w:line="360" w:lineRule="auto"/>
        <w:ind w:left="0" w:firstLine="482"/>
        <w:jc w:val="both"/>
        <w:rPr>
          <w:rFonts w:hint="eastAsia" w:ascii="宋体" w:hAnsi="宋体" w:eastAsia="宋体" w:cs="宋体"/>
          <w:color w:val="auto"/>
          <w:highlight w:val="none"/>
        </w:rPr>
      </w:pPr>
      <w:bookmarkStart w:id="133" w:name="_Toc120614219"/>
      <w:r>
        <w:rPr>
          <w:rFonts w:hint="eastAsia" w:ascii="宋体" w:hAnsi="宋体" w:eastAsia="宋体" w:cs="宋体"/>
          <w:b/>
          <w:color w:val="auto"/>
          <w:highlight w:val="none"/>
        </w:rPr>
        <w:t>六、定标</w:t>
      </w:r>
      <w:bookmarkEnd w:id="133"/>
    </w:p>
    <w:p w14:paraId="4F3CA427">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34" w:name="_Toc20823310"/>
      <w:bookmarkStart w:id="135" w:name="_Toc16938554"/>
      <w:bookmarkStart w:id="136" w:name="_Toc513029238"/>
      <w:r>
        <w:rPr>
          <w:rFonts w:hint="eastAsia" w:ascii="宋体" w:hAnsi="宋体" w:eastAsia="宋体" w:cs="宋体"/>
          <w:color w:val="auto"/>
          <w:highlight w:val="none"/>
        </w:rPr>
        <w:t>28、</w:t>
      </w:r>
      <w:bookmarkEnd w:id="134"/>
      <w:r>
        <w:rPr>
          <w:rFonts w:hint="eastAsia" w:ascii="宋体" w:hAnsi="宋体" w:eastAsia="宋体" w:cs="宋体"/>
          <w:color w:val="auto"/>
          <w:highlight w:val="none"/>
        </w:rPr>
        <w:t>确定</w:t>
      </w:r>
      <w:bookmarkEnd w:id="135"/>
      <w:bookmarkEnd w:id="136"/>
      <w:r>
        <w:rPr>
          <w:rFonts w:hint="eastAsia" w:ascii="宋体" w:hAnsi="宋体" w:eastAsia="宋体" w:cs="宋体"/>
          <w:color w:val="auto"/>
          <w:highlight w:val="none"/>
        </w:rPr>
        <w:t>中标单位</w:t>
      </w:r>
    </w:p>
    <w:p w14:paraId="5A08486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p>
    <w:p w14:paraId="5D2A364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28.2采购人应根据评委会推荐的中标候选人确定中标人。</w:t>
      </w:r>
    </w:p>
    <w:p w14:paraId="0D354FB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28.3</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将在中国政府采购网”“江苏政府采购网”“盐城市政府采购网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发布中标公告，公告期限为1个工作日。</w:t>
      </w:r>
    </w:p>
    <w:p w14:paraId="7207DCD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28.4若有充分证据证明，中标人出现下列情况之一的，一经查实，将被取消中标资格：</w:t>
      </w:r>
    </w:p>
    <w:p w14:paraId="183AD36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28.4.1提供虚假材料谋取中标的。</w:t>
      </w:r>
    </w:p>
    <w:p w14:paraId="1C9413E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28.4.2向采购人、</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行贿或者提供其他不正当利益的。</w:t>
      </w:r>
    </w:p>
    <w:p w14:paraId="34AD12E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28.4.3属于本文件规定的无效条件，但在评标过程中又未被评委会发现的。</w:t>
      </w:r>
    </w:p>
    <w:p w14:paraId="13ABD79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28.4.4与采购人或者其他供应商恶意串通的。</w:t>
      </w:r>
    </w:p>
    <w:p w14:paraId="052A430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28.4.5采取不正当手段诋毁、排挤其他供应商的。</w:t>
      </w:r>
    </w:p>
    <w:p w14:paraId="1A12862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37" w:name="_Toc200451960"/>
      <w:r>
        <w:rPr>
          <w:rFonts w:hint="eastAsia" w:ascii="宋体" w:hAnsi="宋体" w:eastAsia="宋体" w:cs="宋体"/>
          <w:color w:val="auto"/>
          <w:highlight w:val="none"/>
        </w:rPr>
        <w:t>28.5.有下列情形之一的，视为投标人串通投标，投标无效：</w:t>
      </w:r>
      <w:bookmarkEnd w:id="137"/>
    </w:p>
    <w:p w14:paraId="0B855F5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28.5.1不同投标人的投标文件由同一单位或者个人编制；</w:t>
      </w:r>
    </w:p>
    <w:p w14:paraId="0274D3D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28.5.2不同投标人委托同一单位或者个人办理投标事宜；</w:t>
      </w:r>
    </w:p>
    <w:p w14:paraId="57ED1FD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28.5.3 不同投标人的投标文件载明的项目管理成员或者联系人员为同一人；</w:t>
      </w:r>
    </w:p>
    <w:p w14:paraId="47CA110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28.5.4不同投标人的投标文件异常一致或者投标报价呈规律性差异；</w:t>
      </w:r>
    </w:p>
    <w:p w14:paraId="13E201FF">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29、质疑处理</w:t>
      </w:r>
    </w:p>
    <w:p w14:paraId="6576A5F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29.1提出质疑的供应商应当是参与所质疑项目采购活动的供应商。潜在供应商依法获取其可质疑的采购文件的，可以对采购文件提出质疑。</w:t>
      </w:r>
    </w:p>
    <w:p w14:paraId="495B783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或采购人提出质疑。上述应知其权益受到损害之日，是指：</w:t>
      </w:r>
    </w:p>
    <w:p w14:paraId="5959D595">
      <w:pPr>
        <w:pStyle w:val="27"/>
        <w:pageBreakBefore w:val="0"/>
        <w:widowControl w:val="0"/>
        <w:spacing w:beforeAutospacing="0" w:afterAutospacing="0" w:line="360" w:lineRule="auto"/>
        <w:ind w:left="0" w:firstLine="480"/>
        <w:jc w:val="left"/>
        <w:rPr>
          <w:rFonts w:hint="eastAsia" w:ascii="宋体" w:hAnsi="宋体" w:eastAsia="宋体" w:cs="宋体"/>
          <w:color w:val="auto"/>
          <w:highlight w:val="none"/>
        </w:rPr>
      </w:pPr>
      <w:r>
        <w:rPr>
          <w:rFonts w:hint="eastAsia" w:ascii="宋体" w:hAnsi="宋体" w:eastAsia="宋体" w:cs="宋体"/>
          <w:color w:val="auto"/>
          <w:highlight w:val="none"/>
        </w:rPr>
        <w:t>29.2.1对可以质疑的采购文件提出质疑的，为收到采购文件之日或者采购文件公告期限届满之日；</w:t>
      </w:r>
    </w:p>
    <w:p w14:paraId="26674F97">
      <w:pPr>
        <w:pStyle w:val="27"/>
        <w:pageBreakBefore w:val="0"/>
        <w:widowControl w:val="0"/>
        <w:spacing w:beforeAutospacing="0" w:afterAutospacing="0" w:line="360" w:lineRule="auto"/>
        <w:ind w:left="0" w:firstLine="480"/>
        <w:jc w:val="left"/>
        <w:rPr>
          <w:rFonts w:hint="eastAsia" w:ascii="宋体" w:hAnsi="宋体" w:eastAsia="宋体" w:cs="宋体"/>
          <w:color w:val="auto"/>
          <w:highlight w:val="none"/>
        </w:rPr>
      </w:pPr>
      <w:r>
        <w:rPr>
          <w:rFonts w:hint="eastAsia" w:ascii="宋体" w:hAnsi="宋体" w:eastAsia="宋体" w:cs="宋体"/>
          <w:color w:val="auto"/>
          <w:highlight w:val="none"/>
        </w:rPr>
        <w:t>29.2.2对采购过程提出质疑的，为各采购程序环节结束之日；</w:t>
      </w:r>
    </w:p>
    <w:p w14:paraId="1F660DA4">
      <w:pPr>
        <w:pStyle w:val="27"/>
        <w:pageBreakBefore w:val="0"/>
        <w:widowControl w:val="0"/>
        <w:spacing w:beforeAutospacing="0" w:afterAutospacing="0" w:line="360" w:lineRule="auto"/>
        <w:ind w:left="0" w:firstLine="480"/>
        <w:jc w:val="left"/>
        <w:rPr>
          <w:rFonts w:hint="eastAsia" w:ascii="宋体" w:hAnsi="宋体" w:eastAsia="宋体" w:cs="宋体"/>
          <w:color w:val="auto"/>
          <w:highlight w:val="none"/>
        </w:rPr>
      </w:pPr>
      <w:r>
        <w:rPr>
          <w:rFonts w:hint="eastAsia" w:ascii="宋体" w:hAnsi="宋体" w:eastAsia="宋体" w:cs="宋体"/>
          <w:color w:val="auto"/>
          <w:highlight w:val="none"/>
        </w:rPr>
        <w:t>29.2.3对中标或者成交结果提出质疑的，为中标或者成交结果公告期限届满之日。</w:t>
      </w:r>
    </w:p>
    <w:p w14:paraId="5E1D1AD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、采购人将只对供应商第一次质疑作出答复。</w:t>
      </w:r>
    </w:p>
    <w:p w14:paraId="0013ACF1">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5734F428">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提出，由</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负责答复。</w:t>
      </w:r>
    </w:p>
    <w:p w14:paraId="31A9C33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采购人及</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只接收以纸质原件形式送达的质疑,采购人和</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不接受未填写快递运单的快件。质疑接收部门联系地址:详见采购公告，联系电话: 详见采购公告。</w:t>
      </w:r>
    </w:p>
    <w:p w14:paraId="4958F11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29.5以下情形的质疑不予受理</w:t>
      </w:r>
    </w:p>
    <w:p w14:paraId="58BAF08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29.5.1内容不符合《政府采购质疑和投诉办法》第十二条规定的质疑。</w:t>
      </w:r>
    </w:p>
    <w:p w14:paraId="49104B9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29.5.2超出政府采购法定期限的质疑。</w:t>
      </w:r>
    </w:p>
    <w:p w14:paraId="312027C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29.5.3以传真、电子邮件等方式递交的非原件形式的质疑。</w:t>
      </w:r>
    </w:p>
    <w:p w14:paraId="07B5CAE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29.5.4未参加投标活动的供应商或在投标活动中自身权益未受到损害的供应商所提出的质疑。</w:t>
      </w:r>
    </w:p>
    <w:p w14:paraId="27C057A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29.5.5供应商组成联合体参加投标，联合体中任何一方或多方未按要求签字、盖章、加盖公章的质疑。</w:t>
      </w:r>
    </w:p>
    <w:p w14:paraId="054B2B9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0CBE1B5D">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30、中标通知书</w:t>
      </w:r>
    </w:p>
    <w:p w14:paraId="7C42C09C">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30.l中标结果确定后，</w:t>
      </w:r>
      <w:r>
        <w:rPr>
          <w:rFonts w:hint="eastAsia" w:ascii="宋体" w:hAnsi="宋体" w:eastAsia="宋体" w:cs="宋体"/>
          <w:color w:val="auto"/>
          <w:szCs w:val="21"/>
          <w:highlight w:val="none"/>
        </w:rPr>
        <w:t>采购人</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2D3F6C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6D5992BC">
      <w:pPr>
        <w:pStyle w:val="27"/>
        <w:pageBreakBefore w:val="0"/>
        <w:widowControl w:val="0"/>
        <w:spacing w:beforeAutospacing="0" w:afterAutospacing="0" w:line="360" w:lineRule="auto"/>
        <w:ind w:left="0" w:firstLine="482"/>
        <w:rPr>
          <w:rFonts w:hint="eastAsia" w:ascii="宋体" w:hAnsi="宋体" w:eastAsia="宋体" w:cs="宋体"/>
          <w:color w:val="auto"/>
          <w:highlight w:val="none"/>
        </w:rPr>
      </w:pPr>
      <w:bookmarkStart w:id="138" w:name="_Toc120614220"/>
      <w:bookmarkStart w:id="139" w:name="_Toc20823308"/>
      <w:bookmarkStart w:id="140" w:name="_Toc513029236"/>
      <w:bookmarkStart w:id="141" w:name="_Toc16938552"/>
      <w:r>
        <w:rPr>
          <w:rFonts w:hint="eastAsia" w:ascii="宋体" w:hAnsi="宋体" w:eastAsia="宋体" w:cs="宋体"/>
          <w:b/>
          <w:color w:val="auto"/>
          <w:highlight w:val="none"/>
        </w:rPr>
        <w:t>七、授予合同</w:t>
      </w:r>
      <w:bookmarkEnd w:id="138"/>
      <w:bookmarkEnd w:id="139"/>
      <w:bookmarkEnd w:id="140"/>
      <w:bookmarkEnd w:id="141"/>
    </w:p>
    <w:p w14:paraId="559D035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bookmarkStart w:id="142" w:name="_Toc513029237"/>
      <w:bookmarkStart w:id="143" w:name="_Toc20823309"/>
      <w:bookmarkStart w:id="144" w:name="_Toc16938553"/>
      <w:r>
        <w:rPr>
          <w:rFonts w:hint="eastAsia" w:ascii="宋体" w:hAnsi="宋体" w:eastAsia="宋体" w:cs="宋体"/>
          <w:color w:val="auto"/>
          <w:highlight w:val="none"/>
        </w:rPr>
        <w:t>31.签订合同</w:t>
      </w:r>
      <w:bookmarkEnd w:id="142"/>
      <w:bookmarkEnd w:id="143"/>
      <w:bookmarkEnd w:id="144"/>
    </w:p>
    <w:p w14:paraId="645F56D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31.l中标人应当在中标通知书发出之日起三十日内，按照招标文件确定的事项与采购人签订政府采购合同。</w:t>
      </w:r>
    </w:p>
    <w:p w14:paraId="5D473DB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31.2招标文件、中标人的投标文件及招标过程中有关澄清、承诺文件均应作为合同附件。</w:t>
      </w:r>
    </w:p>
    <w:p w14:paraId="24105CE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31.3签订合同后，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5C74E56E">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32、货物（包含与货物相关的服务）的追加</w:t>
      </w:r>
    </w:p>
    <w:p w14:paraId="32AACEE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D8A6AB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33.政府采购政策功能落实</w:t>
      </w:r>
    </w:p>
    <w:p w14:paraId="3976756C">
      <w:pPr>
        <w:pStyle w:val="27"/>
        <w:keepNext/>
        <w:keepLines/>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7EC8C9A9">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F01EBB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33.2进口产品</w:t>
      </w:r>
    </w:p>
    <w:p w14:paraId="22C398D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DD03B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33.3中小企业、监狱企业及残疾人福利性单位</w:t>
      </w:r>
    </w:p>
    <w:p w14:paraId="490F2B2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33.3.1中小企业定义：</w:t>
      </w:r>
    </w:p>
    <w:p w14:paraId="6F433E0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6D3242A">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4B8B84EB">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28FEE7A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308B671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19CFF2A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0D8A69B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2C42BA8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DD917">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7885A22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6096321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190DAD7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685E52F0">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717637E5">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5EE413A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057C22F">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33.3.7本项目是否专门面向中小企业预留采购份额见第一章《招标公告》。</w:t>
      </w:r>
    </w:p>
    <w:p w14:paraId="201B488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3F82FD1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127DAB54">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33.4政府采购节能产品、环境标志产品</w:t>
      </w:r>
    </w:p>
    <w:p w14:paraId="3B6E824E">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59B306E5">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8397A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33.5绿色包装</w:t>
      </w:r>
    </w:p>
    <w:p w14:paraId="545922C7">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42D25BD">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33.6政府采购创新产品</w:t>
      </w:r>
    </w:p>
    <w:p w14:paraId="33D9CF02">
      <w:pPr>
        <w:pageBreakBefore w:val="0"/>
        <w:widowControl w:val="0"/>
        <w:pBdr>
          <w:top w:val="none" w:color="000000" w:sz="0" w:space="0"/>
          <w:left w:val="none" w:color="000000" w:sz="0" w:space="0"/>
          <w:bottom w:val="none" w:color="000000" w:sz="0" w:space="0"/>
          <w:right w:val="none" w:color="000000" w:sz="0" w:space="0"/>
        </w:pBdr>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65904652">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33.7绿色数据中心政策 </w:t>
      </w:r>
    </w:p>
    <w:p w14:paraId="573AAE27">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EB5D5DE">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33.8履约保证金政策</w:t>
      </w:r>
    </w:p>
    <w:p w14:paraId="70FC9D66">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确需收取履约保证金的，履约保证金的缴纳形式：</w:t>
      </w:r>
    </w:p>
    <w:p w14:paraId="421555F7">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654745C">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p>
    <w:p w14:paraId="33B874DD">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bookmarkEnd w:id="44"/>
    </w:p>
    <w:p w14:paraId="69FF5573">
      <w:pPr>
        <w:pStyle w:val="27"/>
        <w:pageBreakBefore w:val="0"/>
        <w:widowControl w:val="0"/>
        <w:spacing w:beforeAutospacing="0" w:afterAutospacing="0" w:line="360" w:lineRule="auto"/>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34.预付款制度</w:t>
      </w:r>
    </w:p>
    <w:p w14:paraId="07E3FD5F">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本项目为电力服务，行业惯例为先使用后付费；月末或次月初出具当月（或上月）电量使用费发票后，使用方支付费用；故本项目不执行预付款政策。</w:t>
      </w:r>
    </w:p>
    <w:p w14:paraId="6CF528B6">
      <w:pPr>
        <w:pageBreakBefore w:val="0"/>
        <w:widowControl w:val="0"/>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35</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招标代理服务费</w:t>
      </w:r>
    </w:p>
    <w:p w14:paraId="75AE94D6">
      <w:pPr>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投标人应自行承担所有与参加投标有关的费用，无论投标过程中的做法和结果如何，</w:t>
      </w:r>
      <w:r>
        <w:rPr>
          <w:rFonts w:hint="eastAsia" w:ascii="宋体" w:hAnsi="宋体" w:eastAsia="宋体" w:cs="宋体"/>
          <w:bCs/>
          <w:color w:val="auto"/>
          <w:sz w:val="24"/>
          <w:szCs w:val="24"/>
          <w:highlight w:val="none"/>
          <w:lang w:val="en-US" w:eastAsia="zh-CN"/>
        </w:rPr>
        <w:t>江苏建安工程管理咨询有限公司</w:t>
      </w:r>
      <w:r>
        <w:rPr>
          <w:rFonts w:hint="eastAsia" w:ascii="宋体" w:hAnsi="宋体" w:eastAsia="宋体" w:cs="宋体"/>
          <w:bCs/>
          <w:color w:val="auto"/>
          <w:sz w:val="24"/>
          <w:szCs w:val="24"/>
          <w:highlight w:val="none"/>
        </w:rPr>
        <w:t>（以下简称代理机构）在任何情况下均无义务和责任承担这些费用。</w:t>
      </w:r>
    </w:p>
    <w:p w14:paraId="0FB6F245">
      <w:pPr>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rPr>
        <w:t>35.2</w:t>
      </w:r>
      <w:r>
        <w:rPr>
          <w:rFonts w:hint="eastAsia" w:ascii="宋体" w:hAnsi="宋体" w:eastAsia="宋体" w:cs="宋体"/>
          <w:bCs/>
          <w:color w:val="auto"/>
          <w:sz w:val="24"/>
          <w:szCs w:val="24"/>
          <w:highlight w:val="none"/>
        </w:rPr>
        <w:t>招标代理服务费:</w:t>
      </w:r>
      <w:r>
        <w:rPr>
          <w:rFonts w:hint="eastAsia" w:ascii="宋体" w:hAnsi="宋体" w:eastAsia="宋体" w:cs="宋体"/>
          <w:bCs/>
          <w:color w:val="auto"/>
          <w:sz w:val="24"/>
          <w:highlight w:val="none"/>
        </w:rPr>
        <w:t>根据代理合同约定的收费标准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江苏省招标代理服务收费的指导意见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苏招协【2022】002号</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%收取代理服务费，即50万元以内按1万元的</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%计取，50-400万元按1.5%的</w:t>
      </w:r>
      <w:r>
        <w:rPr>
          <w:rFonts w:hint="eastAsia" w:ascii="宋体" w:hAnsi="宋体" w:eastAsia="宋体" w:cs="宋体"/>
          <w:bCs/>
          <w:color w:val="auto"/>
          <w:sz w:val="24"/>
          <w:highlight w:val="none"/>
          <w:lang w:val="en-US" w:eastAsia="zh-CN"/>
        </w:rPr>
        <w:t>40</w:t>
      </w:r>
      <w:r>
        <w:rPr>
          <w:rFonts w:hint="eastAsia" w:ascii="宋体" w:hAnsi="宋体" w:eastAsia="宋体" w:cs="宋体"/>
          <w:bCs/>
          <w:color w:val="auto"/>
          <w:sz w:val="24"/>
          <w:highlight w:val="none"/>
        </w:rPr>
        <w:t>%计取，</w:t>
      </w:r>
      <w:r>
        <w:rPr>
          <w:rFonts w:hint="eastAsia" w:ascii="宋体" w:hAnsi="宋体" w:eastAsia="宋体" w:cs="宋体"/>
          <w:bCs/>
          <w:color w:val="auto"/>
          <w:sz w:val="24"/>
          <w:highlight w:val="none"/>
          <w:lang w:val="en-US" w:eastAsia="zh-CN"/>
        </w:rPr>
        <w:t>由采购人支付</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44"/>
          <w:szCs w:val="44"/>
          <w:highlight w:val="none"/>
        </w:rPr>
        <w:br w:type="page" w:clear="all"/>
      </w:r>
    </w:p>
    <w:p w14:paraId="1F9F0834">
      <w:pPr>
        <w:pStyle w:val="27"/>
        <w:keepNext/>
        <w:spacing w:beforeAutospacing="0" w:afterAutospacing="0"/>
        <w:ind w:firstLine="2640"/>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第三章  合同条款</w:t>
      </w:r>
    </w:p>
    <w:p w14:paraId="6F02A77A">
      <w:pPr>
        <w:pStyle w:val="27"/>
        <w:spacing w:beforeAutospacing="0" w:afterAutospacing="0" w:line="0" w:lineRule="atLeast"/>
        <w:ind w:firstLine="480"/>
        <w:jc w:val="both"/>
        <w:rPr>
          <w:rFonts w:hint="eastAsia" w:ascii="宋体" w:hAnsi="宋体" w:eastAsia="宋体" w:cs="宋体"/>
          <w:color w:val="auto"/>
          <w:highlight w:val="none"/>
        </w:rPr>
      </w:pPr>
      <w:bookmarkStart w:id="145" w:name="_Toc513029243"/>
      <w:bookmarkEnd w:id="145"/>
      <w:bookmarkStart w:id="146" w:name="_Toc20823315"/>
      <w:bookmarkEnd w:id="146"/>
      <w:bookmarkStart w:id="147" w:name="_Toc16938559"/>
      <w:bookmarkEnd w:id="147"/>
      <w:bookmarkStart w:id="148" w:name="_Toc120614281"/>
      <w:bookmarkStart w:id="149" w:name="_Hlt16619369"/>
    </w:p>
    <w:p w14:paraId="56441E09">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2C92EC">
      <w:pPr>
        <w:tabs>
          <w:tab w:val="left" w:pos="3948"/>
          <w:tab w:val="left" w:pos="8503"/>
        </w:tabs>
        <w:spacing w:line="404" w:lineRule="exact"/>
        <w:ind w:left="2348"/>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u w:val="single"/>
        </w:rPr>
        <w:tab/>
      </w:r>
      <w:r>
        <w:rPr>
          <w:rFonts w:hint="eastAsia" w:ascii="宋体" w:hAnsi="宋体" w:eastAsia="宋体" w:cs="宋体"/>
          <w:color w:val="auto"/>
          <w:sz w:val="28"/>
          <w:szCs w:val="20"/>
          <w:highlight w:val="none"/>
        </w:rPr>
        <w:t>售电公司服务热线：</w:t>
      </w:r>
      <w:r>
        <w:rPr>
          <w:rFonts w:hint="eastAsia" w:ascii="宋体" w:hAnsi="宋体" w:eastAsia="宋体" w:cs="宋体"/>
          <w:color w:val="auto"/>
          <w:sz w:val="28"/>
          <w:szCs w:val="20"/>
          <w:highlight w:val="none"/>
          <w:u w:val="single"/>
        </w:rPr>
        <w:t xml:space="preserve"> </w:t>
      </w:r>
      <w:r>
        <w:rPr>
          <w:rFonts w:hint="eastAsia" w:ascii="宋体" w:hAnsi="宋体" w:eastAsia="宋体" w:cs="宋体"/>
          <w:color w:val="auto"/>
          <w:sz w:val="28"/>
          <w:szCs w:val="20"/>
          <w:highlight w:val="none"/>
          <w:u w:val="single"/>
        </w:rPr>
        <w:tab/>
      </w:r>
    </w:p>
    <w:p w14:paraId="65AD589D">
      <w:pPr>
        <w:spacing w:before="200" w:line="355" w:lineRule="auto"/>
        <w:ind w:right="1862"/>
        <w:rPr>
          <w:rFonts w:hint="eastAsia" w:ascii="宋体" w:hAnsi="宋体" w:eastAsia="宋体" w:cs="宋体"/>
          <w:color w:val="auto"/>
          <w:sz w:val="28"/>
          <w:szCs w:val="20"/>
          <w:highlight w:val="none"/>
        </w:rPr>
      </w:pPr>
      <w:r>
        <w:rPr>
          <w:rFonts w:hint="eastAsia" w:ascii="宋体" w:hAnsi="宋体" w:eastAsia="宋体" w:cs="宋体"/>
          <w:color w:val="auto"/>
          <w:spacing w:val="2"/>
          <w:sz w:val="28"/>
          <w:szCs w:val="20"/>
          <w:highlight w:val="none"/>
        </w:rPr>
        <w:t>甲</w:t>
      </w:r>
      <w:r>
        <w:rPr>
          <w:rFonts w:hint="eastAsia" w:ascii="宋体" w:hAnsi="宋体" w:eastAsia="宋体" w:cs="宋体"/>
          <w:color w:val="auto"/>
          <w:spacing w:val="-1"/>
          <w:sz w:val="28"/>
          <w:szCs w:val="20"/>
          <w:highlight w:val="none"/>
        </w:rPr>
        <w:t>方</w:t>
      </w:r>
      <w:r>
        <w:rPr>
          <w:rFonts w:hint="eastAsia" w:ascii="宋体" w:hAnsi="宋体" w:eastAsia="宋体" w:cs="宋体"/>
          <w:color w:val="auto"/>
          <w:sz w:val="28"/>
          <w:szCs w:val="20"/>
          <w:highlight w:val="none"/>
        </w:rPr>
        <w:t>合</w:t>
      </w:r>
      <w:r>
        <w:rPr>
          <w:rFonts w:hint="eastAsia" w:ascii="宋体" w:hAnsi="宋体" w:eastAsia="宋体" w:cs="宋体"/>
          <w:color w:val="auto"/>
          <w:spacing w:val="2"/>
          <w:sz w:val="28"/>
          <w:szCs w:val="20"/>
          <w:highlight w:val="none"/>
        </w:rPr>
        <w:t>同</w:t>
      </w:r>
      <w:r>
        <w:rPr>
          <w:rFonts w:hint="eastAsia" w:ascii="宋体" w:hAnsi="宋体" w:eastAsia="宋体" w:cs="宋体"/>
          <w:color w:val="auto"/>
          <w:sz w:val="28"/>
          <w:szCs w:val="20"/>
          <w:highlight w:val="none"/>
        </w:rPr>
        <w:t>编号：</w:t>
      </w:r>
    </w:p>
    <w:p w14:paraId="0E30FBF9">
      <w:pPr>
        <w:spacing w:before="200" w:line="355" w:lineRule="auto"/>
        <w:ind w:right="1862"/>
        <w:rPr>
          <w:rFonts w:hint="eastAsia" w:ascii="宋体" w:hAnsi="宋体" w:eastAsia="宋体" w:cs="宋体"/>
          <w:color w:val="auto"/>
          <w:sz w:val="28"/>
          <w:szCs w:val="20"/>
          <w:highlight w:val="none"/>
        </w:rPr>
      </w:pPr>
      <w:r>
        <w:rPr>
          <w:rFonts w:hint="eastAsia" w:ascii="宋体" w:hAnsi="宋体" w:eastAsia="宋体" w:cs="宋体"/>
          <w:color w:val="auto"/>
          <w:spacing w:val="2"/>
          <w:sz w:val="28"/>
          <w:szCs w:val="20"/>
          <w:highlight w:val="none"/>
        </w:rPr>
        <w:t>乙</w:t>
      </w:r>
      <w:r>
        <w:rPr>
          <w:rFonts w:hint="eastAsia" w:ascii="宋体" w:hAnsi="宋体" w:eastAsia="宋体" w:cs="宋体"/>
          <w:color w:val="auto"/>
          <w:spacing w:val="-1"/>
          <w:sz w:val="28"/>
          <w:szCs w:val="20"/>
          <w:highlight w:val="none"/>
        </w:rPr>
        <w:t>方</w:t>
      </w:r>
      <w:r>
        <w:rPr>
          <w:rFonts w:hint="eastAsia" w:ascii="宋体" w:hAnsi="宋体" w:eastAsia="宋体" w:cs="宋体"/>
          <w:color w:val="auto"/>
          <w:sz w:val="28"/>
          <w:szCs w:val="20"/>
          <w:highlight w:val="none"/>
        </w:rPr>
        <w:t>合</w:t>
      </w:r>
      <w:r>
        <w:rPr>
          <w:rFonts w:hint="eastAsia" w:ascii="宋体" w:hAnsi="宋体" w:eastAsia="宋体" w:cs="宋体"/>
          <w:color w:val="auto"/>
          <w:spacing w:val="2"/>
          <w:sz w:val="28"/>
          <w:szCs w:val="20"/>
          <w:highlight w:val="none"/>
        </w:rPr>
        <w:t>同</w:t>
      </w:r>
      <w:r>
        <w:rPr>
          <w:rFonts w:hint="eastAsia" w:ascii="宋体" w:hAnsi="宋体" w:eastAsia="宋体" w:cs="宋体"/>
          <w:color w:val="auto"/>
          <w:sz w:val="28"/>
          <w:szCs w:val="20"/>
          <w:highlight w:val="none"/>
        </w:rPr>
        <w:t>编号：</w:t>
      </w:r>
    </w:p>
    <w:p w14:paraId="73DAB8F6">
      <w:pPr>
        <w:spacing w:before="1"/>
        <w:rPr>
          <w:rFonts w:hint="eastAsia" w:ascii="宋体" w:hAnsi="宋体" w:eastAsia="宋体" w:cs="宋体"/>
          <w:color w:val="auto"/>
          <w:sz w:val="45"/>
          <w:szCs w:val="45"/>
          <w:highlight w:val="none"/>
        </w:rPr>
      </w:pPr>
    </w:p>
    <w:p w14:paraId="0C55C77B">
      <w:pPr>
        <w:spacing w:line="696" w:lineRule="exact"/>
        <w:ind w:right="129"/>
        <w:jc w:val="center"/>
        <w:rPr>
          <w:rFonts w:hint="eastAsia" w:ascii="宋体" w:hAnsi="宋体" w:eastAsia="宋体" w:cs="宋体"/>
          <w:color w:val="auto"/>
          <w:spacing w:val="74"/>
          <w:sz w:val="44"/>
          <w:szCs w:val="44"/>
          <w:highlight w:val="none"/>
        </w:rPr>
      </w:pPr>
      <w:r>
        <w:rPr>
          <w:rFonts w:hint="eastAsia" w:ascii="宋体" w:hAnsi="宋体" w:eastAsia="宋体" w:cs="宋体"/>
          <w:color w:val="auto"/>
          <w:spacing w:val="74"/>
          <w:sz w:val="44"/>
          <w:szCs w:val="44"/>
          <w:highlight w:val="none"/>
        </w:rPr>
        <w:t>售电公司与电力用户购售电合同</w:t>
      </w:r>
    </w:p>
    <w:p w14:paraId="609A4CB0">
      <w:pPr>
        <w:spacing w:line="696" w:lineRule="exact"/>
        <w:ind w:right="125"/>
        <w:jc w:val="center"/>
        <w:rPr>
          <w:rFonts w:hint="eastAsia" w:ascii="宋体" w:hAnsi="宋体" w:eastAsia="宋体" w:cs="宋体"/>
          <w:color w:val="auto"/>
          <w:spacing w:val="64"/>
          <w:sz w:val="44"/>
          <w:szCs w:val="44"/>
          <w:highlight w:val="none"/>
        </w:rPr>
      </w:pPr>
      <w:r>
        <w:rPr>
          <w:rFonts w:hint="eastAsia" w:ascii="宋体" w:hAnsi="宋体" w:eastAsia="宋体" w:cs="宋体"/>
          <w:color w:val="auto"/>
          <w:sz w:val="44"/>
          <w:szCs w:val="44"/>
          <w:highlight w:val="none"/>
        </w:rPr>
        <w:t xml:space="preserve">（ </w:t>
      </w:r>
      <w:r>
        <w:rPr>
          <w:rFonts w:hint="eastAsia" w:ascii="宋体" w:hAnsi="宋体" w:eastAsia="宋体" w:cs="宋体"/>
          <w:color w:val="auto"/>
          <w:spacing w:val="64"/>
          <w:sz w:val="44"/>
          <w:szCs w:val="44"/>
          <w:highlight w:val="none"/>
        </w:rPr>
        <w:t>示范文本）</w:t>
      </w:r>
    </w:p>
    <w:p w14:paraId="3EBE8368">
      <w:pPr>
        <w:spacing w:before="282"/>
        <w:ind w:right="58"/>
        <w:jc w:val="center"/>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t>（2021</w:t>
      </w:r>
      <w:r>
        <w:rPr>
          <w:rFonts w:hint="eastAsia" w:ascii="宋体" w:hAnsi="宋体" w:eastAsia="宋体" w:cs="宋体"/>
          <w:color w:val="auto"/>
          <w:spacing w:val="-83"/>
          <w:sz w:val="28"/>
          <w:szCs w:val="20"/>
          <w:highlight w:val="none"/>
        </w:rPr>
        <w:t xml:space="preserve"> </w:t>
      </w:r>
      <w:r>
        <w:rPr>
          <w:rFonts w:hint="eastAsia" w:ascii="宋体" w:hAnsi="宋体" w:eastAsia="宋体" w:cs="宋体"/>
          <w:color w:val="auto"/>
          <w:sz w:val="28"/>
          <w:szCs w:val="20"/>
          <w:highlight w:val="none"/>
        </w:rPr>
        <w:t>年修订版）</w:t>
      </w:r>
    </w:p>
    <w:p w14:paraId="20234744">
      <w:pPr>
        <w:rPr>
          <w:rFonts w:hint="eastAsia" w:ascii="宋体" w:hAnsi="宋体" w:eastAsia="宋体" w:cs="宋体"/>
          <w:color w:val="auto"/>
          <w:sz w:val="28"/>
          <w:szCs w:val="20"/>
          <w:highlight w:val="none"/>
        </w:rPr>
      </w:pPr>
    </w:p>
    <w:p w14:paraId="6AE20D40">
      <w:pPr>
        <w:rPr>
          <w:rFonts w:hint="eastAsia" w:ascii="宋体" w:hAnsi="宋体" w:eastAsia="宋体" w:cs="宋体"/>
          <w:color w:val="auto"/>
          <w:sz w:val="28"/>
          <w:szCs w:val="20"/>
          <w:highlight w:val="none"/>
        </w:rPr>
      </w:pPr>
    </w:p>
    <w:p w14:paraId="6EC4D1FD">
      <w:pPr>
        <w:rPr>
          <w:rFonts w:hint="eastAsia" w:ascii="宋体" w:hAnsi="宋体" w:eastAsia="宋体" w:cs="宋体"/>
          <w:color w:val="auto"/>
          <w:sz w:val="28"/>
          <w:szCs w:val="20"/>
          <w:highlight w:val="none"/>
        </w:rPr>
      </w:pPr>
    </w:p>
    <w:p w14:paraId="2FEC0D63">
      <w:pPr>
        <w:rPr>
          <w:rFonts w:hint="eastAsia" w:ascii="宋体" w:hAnsi="宋体" w:eastAsia="宋体" w:cs="宋体"/>
          <w:color w:val="auto"/>
          <w:sz w:val="28"/>
          <w:szCs w:val="20"/>
          <w:highlight w:val="none"/>
        </w:rPr>
      </w:pPr>
    </w:p>
    <w:p w14:paraId="439931CA">
      <w:pPr>
        <w:rPr>
          <w:rFonts w:hint="eastAsia" w:ascii="宋体" w:hAnsi="宋体" w:eastAsia="宋体" w:cs="宋体"/>
          <w:color w:val="auto"/>
          <w:sz w:val="28"/>
          <w:szCs w:val="20"/>
          <w:highlight w:val="none"/>
        </w:rPr>
      </w:pPr>
    </w:p>
    <w:p w14:paraId="23E81538">
      <w:pPr>
        <w:rPr>
          <w:rFonts w:hint="eastAsia" w:ascii="宋体" w:hAnsi="宋体" w:eastAsia="宋体" w:cs="宋体"/>
          <w:color w:val="auto"/>
          <w:sz w:val="28"/>
          <w:szCs w:val="20"/>
          <w:highlight w:val="none"/>
        </w:rPr>
      </w:pPr>
    </w:p>
    <w:p w14:paraId="0A11C38D">
      <w:pPr>
        <w:rPr>
          <w:rFonts w:hint="eastAsia" w:ascii="宋体" w:hAnsi="宋体" w:eastAsia="宋体" w:cs="宋体"/>
          <w:color w:val="auto"/>
          <w:sz w:val="28"/>
          <w:szCs w:val="20"/>
          <w:highlight w:val="none"/>
        </w:rPr>
      </w:pPr>
    </w:p>
    <w:p w14:paraId="229741DB">
      <w:pPr>
        <w:spacing w:before="3"/>
        <w:rPr>
          <w:rFonts w:hint="eastAsia" w:ascii="宋体" w:hAnsi="宋体" w:eastAsia="宋体" w:cs="宋体"/>
          <w:color w:val="auto"/>
          <w:sz w:val="40"/>
          <w:szCs w:val="40"/>
          <w:highlight w:val="none"/>
        </w:rPr>
      </w:pPr>
    </w:p>
    <w:p w14:paraId="50C65456">
      <w:pPr>
        <w:tabs>
          <w:tab w:val="left" w:pos="5233"/>
        </w:tabs>
        <w:ind w:right="188"/>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甲方:</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rPr>
        <w:tab/>
      </w:r>
    </w:p>
    <w:p w14:paraId="7F936D74">
      <w:pPr>
        <w:rPr>
          <w:rFonts w:hint="eastAsia" w:ascii="宋体" w:hAnsi="宋体" w:eastAsia="宋体" w:cs="宋体"/>
          <w:b/>
          <w:bCs/>
          <w:color w:val="auto"/>
          <w:sz w:val="20"/>
          <w:szCs w:val="20"/>
          <w:highlight w:val="none"/>
        </w:rPr>
      </w:pPr>
    </w:p>
    <w:p w14:paraId="7DBC6BCB">
      <w:pPr>
        <w:rPr>
          <w:rFonts w:hint="eastAsia" w:ascii="宋体" w:hAnsi="宋体" w:eastAsia="宋体" w:cs="宋体"/>
          <w:b/>
          <w:bCs/>
          <w:color w:val="auto"/>
          <w:sz w:val="20"/>
          <w:szCs w:val="20"/>
          <w:highlight w:val="none"/>
        </w:rPr>
      </w:pPr>
    </w:p>
    <w:p w14:paraId="76000973">
      <w:pPr>
        <w:spacing w:before="6"/>
        <w:rPr>
          <w:rFonts w:hint="eastAsia" w:ascii="宋体" w:hAnsi="宋体" w:eastAsia="宋体" w:cs="宋体"/>
          <w:b/>
          <w:bCs/>
          <w:color w:val="auto"/>
          <w:sz w:val="19"/>
          <w:szCs w:val="19"/>
          <w:highlight w:val="none"/>
        </w:rPr>
      </w:pPr>
    </w:p>
    <w:p w14:paraId="4AB4EE84">
      <w:pPr>
        <w:tabs>
          <w:tab w:val="left" w:pos="7185"/>
        </w:tabs>
        <w:spacing w:line="460" w:lineRule="exact"/>
        <w:ind w:left="1592" w:firstLine="531"/>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乙方:</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rPr>
        <w:tab/>
      </w:r>
    </w:p>
    <w:p w14:paraId="6DD583FC">
      <w:pPr>
        <w:rPr>
          <w:rFonts w:hint="eastAsia" w:ascii="宋体" w:hAnsi="宋体" w:eastAsia="宋体" w:cs="宋体"/>
          <w:b/>
          <w:bCs/>
          <w:color w:val="auto"/>
          <w:sz w:val="20"/>
          <w:szCs w:val="20"/>
          <w:highlight w:val="none"/>
        </w:rPr>
      </w:pPr>
    </w:p>
    <w:p w14:paraId="06B4B93B">
      <w:pPr>
        <w:rPr>
          <w:rFonts w:hint="eastAsia" w:ascii="宋体" w:hAnsi="宋体" w:eastAsia="宋体" w:cs="宋体"/>
          <w:b/>
          <w:bCs/>
          <w:color w:val="auto"/>
          <w:sz w:val="20"/>
          <w:szCs w:val="20"/>
          <w:highlight w:val="none"/>
        </w:rPr>
      </w:pPr>
    </w:p>
    <w:p w14:paraId="6BB1FABB">
      <w:pPr>
        <w:rPr>
          <w:rFonts w:hint="eastAsia" w:ascii="宋体" w:hAnsi="宋体" w:eastAsia="宋体" w:cs="宋体"/>
          <w:b/>
          <w:bCs/>
          <w:color w:val="auto"/>
          <w:sz w:val="20"/>
          <w:szCs w:val="20"/>
          <w:highlight w:val="none"/>
        </w:rPr>
      </w:pPr>
    </w:p>
    <w:p w14:paraId="293B5F18">
      <w:pPr>
        <w:rPr>
          <w:rFonts w:hint="eastAsia" w:ascii="宋体" w:hAnsi="宋体" w:eastAsia="宋体" w:cs="宋体"/>
          <w:b/>
          <w:bCs/>
          <w:color w:val="auto"/>
          <w:sz w:val="20"/>
          <w:szCs w:val="20"/>
          <w:highlight w:val="none"/>
        </w:rPr>
      </w:pPr>
    </w:p>
    <w:p w14:paraId="1564E762">
      <w:pPr>
        <w:spacing w:before="5"/>
        <w:rPr>
          <w:rFonts w:hint="eastAsia" w:ascii="宋体" w:hAnsi="宋体" w:eastAsia="宋体" w:cs="宋体"/>
          <w:b/>
          <w:bCs/>
          <w:color w:val="auto"/>
          <w:sz w:val="20"/>
          <w:szCs w:val="20"/>
          <w:highlight w:val="none"/>
        </w:rPr>
      </w:pPr>
    </w:p>
    <w:p w14:paraId="41A2E31E">
      <w:pPr>
        <w:spacing w:line="541"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国家能源局江苏监管办公室监制</w:t>
      </w:r>
    </w:p>
    <w:p w14:paraId="7BD85F5E">
      <w:pPr>
        <w:tabs>
          <w:tab w:val="left" w:pos="1260"/>
          <w:tab w:val="left" w:pos="2141"/>
        </w:tabs>
        <w:spacing w:line="697" w:lineRule="exact"/>
        <w:ind w:left="381"/>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签订日期：</w:t>
      </w:r>
      <w:r>
        <w:rPr>
          <w:rFonts w:hint="eastAsia" w:ascii="宋体" w:hAnsi="宋体" w:eastAsia="宋体" w:cs="宋体"/>
          <w:color w:val="auto"/>
          <w:sz w:val="44"/>
          <w:szCs w:val="44"/>
          <w:highlight w:val="none"/>
          <w:u w:val="single"/>
          <w:lang w:val="en-US" w:eastAsia="zh-CN"/>
        </w:rPr>
        <w:t xml:space="preserve">   </w:t>
      </w:r>
      <w:r>
        <w:rPr>
          <w:rFonts w:hint="eastAsia" w:ascii="宋体" w:hAnsi="宋体" w:eastAsia="宋体" w:cs="宋体"/>
          <w:color w:val="auto"/>
          <w:sz w:val="44"/>
          <w:szCs w:val="44"/>
          <w:highlight w:val="none"/>
          <w:u w:val="single"/>
        </w:rPr>
        <w:t>年</w:t>
      </w:r>
      <w:r>
        <w:rPr>
          <w:rFonts w:hint="eastAsia" w:ascii="宋体" w:hAnsi="宋体" w:eastAsia="宋体" w:cs="宋体"/>
          <w:color w:val="auto"/>
          <w:sz w:val="44"/>
          <w:szCs w:val="44"/>
          <w:highlight w:val="none"/>
          <w:u w:val="single"/>
        </w:rPr>
        <w:tab/>
      </w:r>
      <w:r>
        <w:rPr>
          <w:rFonts w:hint="eastAsia" w:ascii="宋体" w:hAnsi="宋体" w:eastAsia="宋体" w:cs="宋体"/>
          <w:color w:val="auto"/>
          <w:sz w:val="44"/>
          <w:szCs w:val="44"/>
          <w:highlight w:val="none"/>
          <w:u w:val="single"/>
          <w:lang w:val="en-US" w:eastAsia="zh-CN"/>
        </w:rPr>
        <w:t xml:space="preserve">  </w:t>
      </w:r>
      <w:r>
        <w:rPr>
          <w:rFonts w:hint="eastAsia" w:ascii="宋体" w:hAnsi="宋体" w:eastAsia="宋体" w:cs="宋体"/>
          <w:color w:val="auto"/>
          <w:sz w:val="44"/>
          <w:szCs w:val="44"/>
          <w:highlight w:val="none"/>
          <w:u w:val="single"/>
        </w:rPr>
        <w:t>月</w:t>
      </w:r>
      <w:r>
        <w:rPr>
          <w:rFonts w:hint="eastAsia" w:ascii="宋体" w:hAnsi="宋体" w:eastAsia="宋体" w:cs="宋体"/>
          <w:color w:val="auto"/>
          <w:sz w:val="44"/>
          <w:szCs w:val="44"/>
          <w:highlight w:val="none"/>
          <w:u w:val="single"/>
        </w:rPr>
        <w:tab/>
      </w:r>
      <w:r>
        <w:rPr>
          <w:rFonts w:hint="eastAsia" w:ascii="宋体" w:hAnsi="宋体" w:eastAsia="宋体" w:cs="宋体"/>
          <w:color w:val="auto"/>
          <w:sz w:val="44"/>
          <w:szCs w:val="44"/>
          <w:highlight w:val="none"/>
          <w:u w:val="single"/>
        </w:rPr>
        <w:t>日</w:t>
      </w:r>
    </w:p>
    <w:p w14:paraId="49F6329D">
      <w:pPr>
        <w:tabs>
          <w:tab w:val="left" w:pos="1260"/>
          <w:tab w:val="left" w:pos="2141"/>
        </w:tabs>
        <w:spacing w:line="697" w:lineRule="exact"/>
        <w:ind w:left="381"/>
        <w:jc w:val="center"/>
        <w:rPr>
          <w:rFonts w:hint="eastAsia" w:ascii="宋体" w:hAnsi="宋体" w:eastAsia="宋体" w:cs="宋体"/>
          <w:color w:val="auto"/>
          <w:sz w:val="44"/>
          <w:szCs w:val="44"/>
          <w:highlight w:val="none"/>
        </w:rPr>
        <w:sectPr>
          <w:footerReference r:id="rId6" w:type="first"/>
          <w:footerReference r:id="rId5" w:type="default"/>
          <w:pgSz w:w="11910" w:h="16840"/>
          <w:pgMar w:top="1134" w:right="1134" w:bottom="1134" w:left="1259" w:header="720" w:footer="720" w:gutter="0"/>
          <w:pgNumType w:start="1"/>
          <w:cols w:space="720" w:num="1"/>
          <w:titlePg/>
          <w:docGrid w:linePitch="360" w:charSpace="0"/>
        </w:sectPr>
      </w:pPr>
    </w:p>
    <w:p w14:paraId="24FD3F55">
      <w:pPr>
        <w:rPr>
          <w:rFonts w:hint="eastAsia" w:ascii="宋体" w:hAnsi="宋体" w:eastAsia="宋体" w:cs="宋体"/>
          <w:color w:val="auto"/>
          <w:sz w:val="20"/>
          <w:szCs w:val="20"/>
          <w:highlight w:val="none"/>
        </w:rPr>
      </w:pPr>
    </w:p>
    <w:p w14:paraId="2077B386">
      <w:pPr>
        <w:spacing w:before="5"/>
        <w:rPr>
          <w:rFonts w:hint="eastAsia" w:ascii="宋体" w:hAnsi="宋体" w:eastAsia="宋体" w:cs="宋体"/>
          <w:color w:val="auto"/>
          <w:sz w:val="11"/>
          <w:szCs w:val="11"/>
          <w:highlight w:val="none"/>
        </w:rPr>
      </w:pPr>
    </w:p>
    <w:p w14:paraId="0F08365E">
      <w:pPr>
        <w:tabs>
          <w:tab w:val="left" w:pos="719"/>
          <w:tab w:val="left" w:pos="1440"/>
          <w:tab w:val="left" w:pos="2160"/>
        </w:tabs>
        <w:spacing w:line="460" w:lineRule="exact"/>
        <w:ind w:right="138"/>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使</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用</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说</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明</w:t>
      </w:r>
    </w:p>
    <w:p w14:paraId="61264E28">
      <w:pPr>
        <w:rPr>
          <w:rFonts w:hint="eastAsia" w:ascii="宋体" w:hAnsi="宋体" w:eastAsia="宋体" w:cs="宋体"/>
          <w:color w:val="auto"/>
          <w:sz w:val="36"/>
          <w:szCs w:val="36"/>
          <w:highlight w:val="none"/>
        </w:rPr>
      </w:pPr>
    </w:p>
    <w:p w14:paraId="399F4E4E">
      <w:pPr>
        <w:spacing w:before="5"/>
        <w:rPr>
          <w:rFonts w:hint="eastAsia" w:ascii="宋体" w:hAnsi="宋体" w:eastAsia="宋体" w:cs="宋体"/>
          <w:color w:val="auto"/>
          <w:sz w:val="26"/>
          <w:szCs w:val="26"/>
          <w:highlight w:val="none"/>
        </w:rPr>
      </w:pPr>
    </w:p>
    <w:p w14:paraId="0D60AEA8">
      <w:pPr>
        <w:spacing w:line="355" w:lineRule="auto"/>
        <w:ind w:right="258" w:firstLine="640"/>
        <w:rPr>
          <w:rFonts w:hint="eastAsia" w:ascii="宋体" w:hAnsi="宋体" w:eastAsia="宋体" w:cs="宋体"/>
          <w:color w:val="auto"/>
          <w:sz w:val="28"/>
          <w:szCs w:val="20"/>
          <w:highlight w:val="none"/>
        </w:rPr>
      </w:pPr>
      <w:r>
        <w:rPr>
          <w:rFonts w:hint="eastAsia" w:ascii="宋体" w:hAnsi="宋体" w:eastAsia="宋体" w:cs="宋体"/>
          <w:color w:val="auto"/>
          <w:spacing w:val="2"/>
          <w:sz w:val="28"/>
          <w:szCs w:val="20"/>
          <w:highlight w:val="none"/>
        </w:rPr>
        <w:t>一</w:t>
      </w:r>
      <w:r>
        <w:rPr>
          <w:rFonts w:hint="eastAsia" w:ascii="宋体" w:hAnsi="宋体" w:eastAsia="宋体" w:cs="宋体"/>
          <w:color w:val="auto"/>
          <w:spacing w:val="-15"/>
          <w:sz w:val="28"/>
          <w:szCs w:val="20"/>
          <w:highlight w:val="none"/>
        </w:rPr>
        <w:t>、</w:t>
      </w:r>
      <w:r>
        <w:rPr>
          <w:rFonts w:hint="eastAsia" w:ascii="宋体" w:hAnsi="宋体" w:eastAsia="宋体" w:cs="宋体"/>
          <w:color w:val="auto"/>
          <w:spacing w:val="2"/>
          <w:sz w:val="28"/>
          <w:szCs w:val="20"/>
          <w:highlight w:val="none"/>
        </w:rPr>
        <w:t>本</w:t>
      </w:r>
      <w:r>
        <w:rPr>
          <w:rFonts w:hint="eastAsia" w:ascii="宋体" w:hAnsi="宋体" w:eastAsia="宋体" w:cs="宋体"/>
          <w:color w:val="auto"/>
          <w:sz w:val="28"/>
          <w:szCs w:val="20"/>
          <w:highlight w:val="none"/>
        </w:rPr>
        <w:t>合同</w:t>
      </w:r>
      <w:r>
        <w:rPr>
          <w:rFonts w:hint="eastAsia" w:ascii="宋体" w:hAnsi="宋体" w:eastAsia="宋体" w:cs="宋体"/>
          <w:color w:val="auto"/>
          <w:spacing w:val="2"/>
          <w:sz w:val="28"/>
          <w:szCs w:val="20"/>
          <w:highlight w:val="none"/>
        </w:rPr>
        <w:t>适</w:t>
      </w:r>
      <w:r>
        <w:rPr>
          <w:rFonts w:hint="eastAsia" w:ascii="宋体" w:hAnsi="宋体" w:eastAsia="宋体" w:cs="宋体"/>
          <w:color w:val="auto"/>
          <w:sz w:val="28"/>
          <w:szCs w:val="20"/>
          <w:highlight w:val="none"/>
        </w:rPr>
        <w:t>用</w:t>
      </w:r>
      <w:r>
        <w:rPr>
          <w:rFonts w:hint="eastAsia" w:ascii="宋体" w:hAnsi="宋体" w:eastAsia="宋体" w:cs="宋体"/>
          <w:color w:val="auto"/>
          <w:spacing w:val="2"/>
          <w:sz w:val="28"/>
          <w:szCs w:val="20"/>
          <w:highlight w:val="none"/>
        </w:rPr>
        <w:t>于</w:t>
      </w:r>
      <w:r>
        <w:rPr>
          <w:rFonts w:hint="eastAsia" w:ascii="宋体" w:hAnsi="宋体" w:eastAsia="宋体" w:cs="宋体"/>
          <w:color w:val="auto"/>
          <w:sz w:val="28"/>
          <w:szCs w:val="20"/>
          <w:highlight w:val="none"/>
        </w:rPr>
        <w:t>符合</w:t>
      </w:r>
      <w:r>
        <w:rPr>
          <w:rFonts w:hint="eastAsia" w:ascii="宋体" w:hAnsi="宋体" w:eastAsia="宋体" w:cs="宋体"/>
          <w:color w:val="auto"/>
          <w:spacing w:val="2"/>
          <w:sz w:val="28"/>
          <w:szCs w:val="20"/>
          <w:highlight w:val="none"/>
        </w:rPr>
        <w:t>江</w:t>
      </w:r>
      <w:r>
        <w:rPr>
          <w:rFonts w:hint="eastAsia" w:ascii="宋体" w:hAnsi="宋体" w:eastAsia="宋体" w:cs="宋体"/>
          <w:color w:val="auto"/>
          <w:sz w:val="28"/>
          <w:szCs w:val="20"/>
          <w:highlight w:val="none"/>
        </w:rPr>
        <w:t>苏省售</w:t>
      </w:r>
      <w:r>
        <w:rPr>
          <w:rFonts w:hint="eastAsia" w:ascii="宋体" w:hAnsi="宋体" w:eastAsia="宋体" w:cs="宋体"/>
          <w:color w:val="auto"/>
          <w:spacing w:val="2"/>
          <w:sz w:val="28"/>
          <w:szCs w:val="20"/>
          <w:highlight w:val="none"/>
        </w:rPr>
        <w:t>电</w:t>
      </w:r>
      <w:r>
        <w:rPr>
          <w:rFonts w:hint="eastAsia" w:ascii="宋体" w:hAnsi="宋体" w:eastAsia="宋体" w:cs="宋体"/>
          <w:color w:val="auto"/>
          <w:sz w:val="28"/>
          <w:szCs w:val="20"/>
          <w:highlight w:val="none"/>
        </w:rPr>
        <w:t>侧改</w:t>
      </w:r>
      <w:r>
        <w:rPr>
          <w:rFonts w:hint="eastAsia" w:ascii="宋体" w:hAnsi="宋体" w:eastAsia="宋体" w:cs="宋体"/>
          <w:color w:val="auto"/>
          <w:spacing w:val="2"/>
          <w:sz w:val="28"/>
          <w:szCs w:val="20"/>
          <w:highlight w:val="none"/>
        </w:rPr>
        <w:t>革</w:t>
      </w:r>
      <w:r>
        <w:rPr>
          <w:rFonts w:hint="eastAsia" w:ascii="宋体" w:hAnsi="宋体" w:eastAsia="宋体" w:cs="宋体"/>
          <w:color w:val="auto"/>
          <w:sz w:val="28"/>
          <w:szCs w:val="20"/>
          <w:highlight w:val="none"/>
        </w:rPr>
        <w:t>试点准</w:t>
      </w:r>
      <w:r>
        <w:rPr>
          <w:rFonts w:hint="eastAsia" w:ascii="宋体" w:hAnsi="宋体" w:eastAsia="宋体" w:cs="宋体"/>
          <w:color w:val="auto"/>
          <w:spacing w:val="2"/>
          <w:sz w:val="28"/>
          <w:szCs w:val="20"/>
          <w:highlight w:val="none"/>
        </w:rPr>
        <w:t>入</w:t>
      </w:r>
      <w:r>
        <w:rPr>
          <w:rFonts w:hint="eastAsia" w:ascii="宋体" w:hAnsi="宋体" w:eastAsia="宋体" w:cs="宋体"/>
          <w:color w:val="auto"/>
          <w:sz w:val="28"/>
          <w:szCs w:val="20"/>
          <w:highlight w:val="none"/>
        </w:rPr>
        <w:t>要求</w:t>
      </w:r>
      <w:r>
        <w:rPr>
          <w:rFonts w:hint="eastAsia" w:ascii="宋体" w:hAnsi="宋体" w:eastAsia="宋体" w:cs="宋体"/>
          <w:color w:val="auto"/>
          <w:spacing w:val="2"/>
          <w:sz w:val="28"/>
          <w:szCs w:val="20"/>
          <w:highlight w:val="none"/>
        </w:rPr>
        <w:t>的</w:t>
      </w:r>
      <w:r>
        <w:rPr>
          <w:rFonts w:hint="eastAsia" w:ascii="宋体" w:hAnsi="宋体" w:eastAsia="宋体" w:cs="宋体"/>
          <w:color w:val="auto"/>
          <w:sz w:val="28"/>
          <w:szCs w:val="20"/>
          <w:highlight w:val="none"/>
        </w:rPr>
        <w:t>电力</w:t>
      </w:r>
      <w:r>
        <w:rPr>
          <w:rFonts w:hint="eastAsia" w:ascii="宋体" w:hAnsi="宋体" w:eastAsia="宋体" w:cs="宋体"/>
          <w:color w:val="auto"/>
          <w:spacing w:val="2"/>
          <w:sz w:val="28"/>
          <w:szCs w:val="20"/>
          <w:highlight w:val="none"/>
        </w:rPr>
        <w:t>用</w:t>
      </w:r>
      <w:r>
        <w:rPr>
          <w:rFonts w:hint="eastAsia" w:ascii="宋体" w:hAnsi="宋体" w:eastAsia="宋体" w:cs="宋体"/>
          <w:color w:val="auto"/>
          <w:sz w:val="28"/>
          <w:szCs w:val="20"/>
          <w:highlight w:val="none"/>
        </w:rPr>
        <w:t>户和售</w:t>
      </w:r>
      <w:r>
        <w:rPr>
          <w:rFonts w:hint="eastAsia" w:ascii="宋体" w:hAnsi="宋体" w:eastAsia="宋体" w:cs="宋体"/>
          <w:color w:val="auto"/>
          <w:spacing w:val="2"/>
          <w:sz w:val="28"/>
          <w:szCs w:val="20"/>
          <w:highlight w:val="none"/>
        </w:rPr>
        <w:t>电</w:t>
      </w:r>
      <w:r>
        <w:rPr>
          <w:rFonts w:hint="eastAsia" w:ascii="宋体" w:hAnsi="宋体" w:eastAsia="宋体" w:cs="宋体"/>
          <w:color w:val="auto"/>
          <w:sz w:val="28"/>
          <w:szCs w:val="20"/>
          <w:highlight w:val="none"/>
        </w:rPr>
        <w:t>公司</w:t>
      </w:r>
      <w:r>
        <w:rPr>
          <w:rFonts w:hint="eastAsia" w:ascii="宋体" w:hAnsi="宋体" w:eastAsia="宋体" w:cs="宋体"/>
          <w:color w:val="auto"/>
          <w:spacing w:val="2"/>
          <w:sz w:val="28"/>
          <w:szCs w:val="20"/>
          <w:highlight w:val="none"/>
        </w:rPr>
        <w:t>之</w:t>
      </w:r>
      <w:r>
        <w:rPr>
          <w:rFonts w:hint="eastAsia" w:ascii="宋体" w:hAnsi="宋体" w:eastAsia="宋体" w:cs="宋体"/>
          <w:color w:val="auto"/>
          <w:sz w:val="28"/>
          <w:szCs w:val="20"/>
          <w:highlight w:val="none"/>
        </w:rPr>
        <w:t>间签订</w:t>
      </w:r>
      <w:r>
        <w:rPr>
          <w:rFonts w:hint="eastAsia" w:ascii="宋体" w:hAnsi="宋体" w:eastAsia="宋体" w:cs="宋体"/>
          <w:color w:val="auto"/>
          <w:spacing w:val="4"/>
          <w:sz w:val="28"/>
          <w:szCs w:val="20"/>
          <w:highlight w:val="none"/>
        </w:rPr>
        <w:t>的</w:t>
      </w:r>
      <w:r>
        <w:rPr>
          <w:rFonts w:hint="eastAsia" w:ascii="宋体" w:hAnsi="宋体" w:eastAsia="宋体" w:cs="宋体"/>
          <w:color w:val="auto"/>
          <w:sz w:val="28"/>
          <w:szCs w:val="20"/>
          <w:highlight w:val="none"/>
        </w:rPr>
        <w:t>电</w:t>
      </w:r>
      <w:r>
        <w:rPr>
          <w:rFonts w:hint="eastAsia" w:ascii="宋体" w:hAnsi="宋体" w:eastAsia="宋体" w:cs="宋体"/>
          <w:color w:val="auto"/>
          <w:spacing w:val="-5"/>
          <w:sz w:val="28"/>
          <w:szCs w:val="20"/>
          <w:highlight w:val="none"/>
        </w:rPr>
        <w:t>能</w:t>
      </w:r>
      <w:r>
        <w:rPr>
          <w:rFonts w:hint="eastAsia" w:ascii="宋体" w:hAnsi="宋体" w:eastAsia="宋体" w:cs="宋体"/>
          <w:color w:val="auto"/>
          <w:spacing w:val="2"/>
          <w:sz w:val="28"/>
          <w:szCs w:val="20"/>
          <w:highlight w:val="none"/>
        </w:rPr>
        <w:t>（</w:t>
      </w:r>
      <w:r>
        <w:rPr>
          <w:rFonts w:hint="eastAsia" w:ascii="宋体" w:hAnsi="宋体" w:eastAsia="宋体" w:cs="宋体"/>
          <w:color w:val="auto"/>
          <w:sz w:val="28"/>
          <w:szCs w:val="20"/>
          <w:highlight w:val="none"/>
        </w:rPr>
        <w:t>含电力</w:t>
      </w:r>
      <w:r>
        <w:rPr>
          <w:rFonts w:hint="eastAsia" w:ascii="宋体" w:hAnsi="宋体" w:eastAsia="宋体" w:cs="宋体"/>
          <w:color w:val="auto"/>
          <w:spacing w:val="-3"/>
          <w:sz w:val="28"/>
          <w:szCs w:val="20"/>
          <w:highlight w:val="none"/>
        </w:rPr>
        <w:t>、</w:t>
      </w:r>
      <w:r>
        <w:rPr>
          <w:rFonts w:hint="eastAsia" w:ascii="宋体" w:hAnsi="宋体" w:eastAsia="宋体" w:cs="宋体"/>
          <w:color w:val="auto"/>
          <w:sz w:val="28"/>
          <w:szCs w:val="20"/>
          <w:highlight w:val="none"/>
        </w:rPr>
        <w:t>电量</w:t>
      </w:r>
      <w:r>
        <w:rPr>
          <w:rFonts w:hint="eastAsia" w:ascii="宋体" w:hAnsi="宋体" w:eastAsia="宋体" w:cs="宋体"/>
          <w:color w:val="auto"/>
          <w:spacing w:val="-2"/>
          <w:sz w:val="28"/>
          <w:szCs w:val="20"/>
          <w:highlight w:val="none"/>
        </w:rPr>
        <w:t>）</w:t>
      </w:r>
      <w:r>
        <w:rPr>
          <w:rFonts w:hint="eastAsia" w:ascii="宋体" w:hAnsi="宋体" w:eastAsia="宋体" w:cs="宋体"/>
          <w:color w:val="auto"/>
          <w:sz w:val="28"/>
          <w:szCs w:val="20"/>
          <w:highlight w:val="none"/>
        </w:rPr>
        <w:t>交</w:t>
      </w:r>
      <w:r>
        <w:rPr>
          <w:rFonts w:hint="eastAsia" w:ascii="宋体" w:hAnsi="宋体" w:eastAsia="宋体" w:cs="宋体"/>
          <w:color w:val="auto"/>
          <w:spacing w:val="2"/>
          <w:sz w:val="28"/>
          <w:szCs w:val="20"/>
          <w:highlight w:val="none"/>
        </w:rPr>
        <w:t>易</w:t>
      </w:r>
      <w:r>
        <w:rPr>
          <w:rFonts w:hint="eastAsia" w:ascii="宋体" w:hAnsi="宋体" w:eastAsia="宋体" w:cs="宋体"/>
          <w:color w:val="auto"/>
          <w:sz w:val="28"/>
          <w:szCs w:val="20"/>
          <w:highlight w:val="none"/>
        </w:rPr>
        <w:t>合同。</w:t>
      </w:r>
    </w:p>
    <w:p w14:paraId="2363152B">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二、如无特别说明，本合同所有电力市场专业名词均与《江苏省电力中长期交易规则》的规定一致。</w:t>
      </w:r>
    </w:p>
    <w:p w14:paraId="47805FE9">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三、本合同中有关空格的内容由合同各方约定或据实填写，空格处没有添加内容的，请填写“无”或划“/”。本合同双方可根据具体情况在公平、合理和协商一致的基础上进行补充约定，其中，原则性的补充约定必须用标记线标出。</w:t>
      </w:r>
    </w:p>
    <w:p w14:paraId="3273D8C6">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四、如法律、法规发生变化或者政府部门出台新的规定、规则，本合同内容应相应修改或补充。合同各方应遵从其规定。</w:t>
      </w:r>
    </w:p>
    <w:p w14:paraId="75E48102">
      <w:pPr>
        <w:spacing w:line="355" w:lineRule="auto"/>
        <w:ind w:right="258" w:firstLine="640"/>
        <w:rPr>
          <w:rFonts w:hint="eastAsia" w:ascii="宋体" w:hAnsi="宋体" w:eastAsia="宋体" w:cs="宋体"/>
          <w:color w:val="auto"/>
          <w:spacing w:val="2"/>
          <w:sz w:val="28"/>
          <w:szCs w:val="20"/>
          <w:highlight w:val="none"/>
        </w:rPr>
        <w:sectPr>
          <w:footerReference r:id="rId7" w:type="default"/>
          <w:pgSz w:w="11910" w:h="16840"/>
          <w:pgMar w:top="1580" w:right="1540" w:bottom="1160" w:left="1680" w:header="737" w:footer="737" w:gutter="0"/>
          <w:cols w:space="720" w:num="1"/>
          <w:docGrid w:linePitch="360" w:charSpace="0"/>
        </w:sectPr>
      </w:pPr>
    </w:p>
    <w:p w14:paraId="25473387">
      <w:pPr>
        <w:tabs>
          <w:tab w:val="left" w:pos="883"/>
        </w:tabs>
        <w:spacing w:line="512" w:lineRule="exact"/>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w:t>
      </w:r>
      <w:r>
        <w:rPr>
          <w:rFonts w:hint="eastAsia" w:ascii="宋体" w:hAnsi="宋体" w:eastAsia="宋体" w:cs="宋体"/>
          <w:b/>
          <w:bCs/>
          <w:color w:val="auto"/>
          <w:sz w:val="44"/>
          <w:szCs w:val="44"/>
          <w:highlight w:val="none"/>
        </w:rPr>
        <w:tab/>
      </w:r>
      <w:r>
        <w:rPr>
          <w:rFonts w:hint="eastAsia" w:ascii="宋体" w:hAnsi="宋体" w:eastAsia="宋体" w:cs="宋体"/>
          <w:b/>
          <w:bCs/>
          <w:color w:val="auto"/>
          <w:sz w:val="44"/>
          <w:szCs w:val="44"/>
          <w:highlight w:val="none"/>
        </w:rPr>
        <w:t>录</w:t>
      </w:r>
    </w:p>
    <w:p w14:paraId="24FCC01E">
      <w:pPr>
        <w:tabs>
          <w:tab w:val="left" w:pos="1401"/>
          <w:tab w:val="right" w:leader="dot" w:pos="8417"/>
        </w:tabs>
        <w:spacing w:before="769"/>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第一章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定义和解释</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..........................5</w:t>
      </w:r>
    </w:p>
    <w:p w14:paraId="7ABB0221">
      <w:pPr>
        <w:tabs>
          <w:tab w:val="left" w:pos="1401"/>
          <w:tab w:val="right" w:leader="dot" w:pos="8417"/>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第二章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双方陈述</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............................6</w:t>
      </w:r>
    </w:p>
    <w:p w14:paraId="0379DD27">
      <w:pPr>
        <w:tabs>
          <w:tab w:val="left" w:pos="1401"/>
          <w:tab w:val="right" w:leader="dot" w:pos="8417"/>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第三章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双方的权利和义务</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....................7</w:t>
      </w:r>
    </w:p>
    <w:p w14:paraId="7E77A6C6">
      <w:pPr>
        <w:tabs>
          <w:tab w:val="left" w:pos="1401"/>
          <w:tab w:val="right" w:leader="dot" w:pos="8417"/>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第四章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合同周期、交易电量（力）、电价</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.......9</w:t>
      </w:r>
    </w:p>
    <w:p w14:paraId="0A2EF102">
      <w:pPr>
        <w:tabs>
          <w:tab w:val="left" w:pos="1401"/>
          <w:tab w:val="right" w:leader="dot" w:pos="8416"/>
        </w:tabs>
        <w:spacing w:before="165"/>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第五章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计量、结算和支付</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....................14</w:t>
      </w:r>
    </w:p>
    <w:p w14:paraId="6A6A4152">
      <w:pPr>
        <w:tabs>
          <w:tab w:val="left" w:pos="1401"/>
          <w:tab w:val="right" w:leader="dot" w:pos="8416"/>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第六章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合同变更、解除与违约赔偿</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............14</w:t>
      </w:r>
    </w:p>
    <w:p w14:paraId="6547B242">
      <w:pPr>
        <w:tabs>
          <w:tab w:val="left" w:pos="1401"/>
          <w:tab w:val="right" w:leader="dot" w:pos="8417"/>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第七章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保密及争议解决</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......................16</w:t>
      </w:r>
    </w:p>
    <w:p w14:paraId="01C1B101">
      <w:pPr>
        <w:tabs>
          <w:tab w:val="left" w:pos="1401"/>
          <w:tab w:val="right" w:leader="dot" w:pos="8416"/>
        </w:tabs>
        <w:spacing w:before="164"/>
        <w:rPr>
          <w:rFonts w:hint="default" w:ascii="宋体" w:hAnsi="宋体" w:eastAsia="宋体" w:cs="宋体"/>
          <w:color w:val="auto"/>
          <w:sz w:val="28"/>
          <w:szCs w:val="2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0"/>
          <w:highlight w:val="none"/>
        </w:rPr>
        <w:t>第八章</w:t>
      </w:r>
      <w:r>
        <w:rPr>
          <w:rFonts w:hint="eastAsia" w:ascii="宋体" w:hAnsi="宋体" w:eastAsia="宋体" w:cs="宋体"/>
          <w:color w:val="auto"/>
          <w:sz w:val="28"/>
          <w:szCs w:val="20"/>
          <w:highlight w:val="none"/>
        </w:rPr>
        <w:tab/>
      </w:r>
      <w:r>
        <w:rPr>
          <w:rFonts w:hint="eastAsia" w:ascii="宋体" w:hAnsi="宋体" w:eastAsia="宋体" w:cs="宋体"/>
          <w:color w:val="auto"/>
          <w:sz w:val="28"/>
          <w:szCs w:val="20"/>
          <w:highlight w:val="none"/>
        </w:rPr>
        <w:t>合同生效和期限</w:t>
      </w:r>
      <w:r>
        <w:rPr>
          <w:rFonts w:hint="eastAsia" w:ascii="宋体" w:hAnsi="宋体" w:eastAsia="宋体" w:cs="宋体"/>
          <w:color w:val="auto"/>
          <w:sz w:val="28"/>
          <w:szCs w:val="20"/>
          <w:highlight w:val="none"/>
        </w:rPr>
        <w:fldChar w:fldCharType="end"/>
      </w:r>
      <w:r>
        <w:rPr>
          <w:rFonts w:hint="eastAsia" w:ascii="宋体" w:hAnsi="宋体" w:eastAsia="宋体" w:cs="宋体"/>
          <w:color w:val="auto"/>
          <w:sz w:val="28"/>
          <w:szCs w:val="20"/>
          <w:highlight w:val="none"/>
          <w:lang w:val="en-US" w:eastAsia="zh-CN"/>
        </w:rPr>
        <w:t>......................17</w:t>
      </w:r>
    </w:p>
    <w:p w14:paraId="5D68E1FA">
      <w:pPr>
        <w:tabs>
          <w:tab w:val="left" w:pos="1401"/>
          <w:tab w:val="right" w:leader="dot" w:pos="8416"/>
        </w:tabs>
        <w:spacing w:before="164"/>
        <w:rPr>
          <w:rFonts w:hint="default" w:ascii="宋体" w:hAnsi="宋体" w:eastAsia="宋体" w:cs="宋体"/>
          <w:color w:val="auto"/>
          <w:sz w:val="28"/>
          <w:szCs w:val="20"/>
          <w:highlight w:val="none"/>
          <w:lang w:val="en-US" w:eastAsia="zh-CN"/>
        </w:rPr>
        <w:sectPr>
          <w:pgSz w:w="11910" w:h="16840"/>
          <w:pgMar w:top="1440" w:right="1680" w:bottom="1160" w:left="1680" w:header="567" w:footer="975" w:gutter="0"/>
          <w:cols w:space="720" w:num="1"/>
          <w:docGrid w:linePitch="360" w:charSpace="0"/>
        </w:sectPr>
      </w:pPr>
    </w:p>
    <w:p w14:paraId="1BDF2C6E">
      <w:pPr>
        <w:keepNext w:val="0"/>
        <w:keepLines w:val="0"/>
        <w:pageBreakBefore w:val="0"/>
        <w:widowControl w:val="0"/>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售电公司与电力用户购售电合同</w:t>
      </w:r>
    </w:p>
    <w:p w14:paraId="3A24433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售电公司与电力用户购售电合同（以下简称本合同）由下列双方签署：</w:t>
      </w:r>
    </w:p>
    <w:p w14:paraId="116F8FD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1、购电方（电力用户，以下简称甲方）：</w:t>
      </w:r>
      <w:r>
        <w:rPr>
          <w:rFonts w:hint="eastAsia" w:ascii="宋体" w:hAnsi="宋体" w:eastAsia="宋体" w:cs="宋体"/>
          <w:color w:val="auto"/>
          <w:sz w:val="24"/>
          <w:highlight w:val="none"/>
          <w:u w:val="single"/>
        </w:rPr>
        <w:t>___________________</w:t>
      </w:r>
      <w:r>
        <w:rPr>
          <w:rFonts w:hint="eastAsia" w:ascii="宋体" w:hAnsi="宋体" w:eastAsia="宋体" w:cs="宋体"/>
          <w:color w:val="auto"/>
          <w:sz w:val="24"/>
          <w:highlight w:val="none"/>
        </w:rPr>
        <w:t>，系一家具有</w:t>
      </w:r>
      <w:r>
        <w:rPr>
          <w:rFonts w:hint="eastAsia" w:ascii="宋体" w:hAnsi="宋体" w:eastAsia="宋体" w:cs="宋体"/>
          <w:color w:val="auto"/>
          <w:sz w:val="24"/>
          <w:highlight w:val="none"/>
          <w:u w:val="single"/>
        </w:rPr>
        <w:t>法人资格/经法人单位授权</w:t>
      </w:r>
      <w:r>
        <w:rPr>
          <w:rFonts w:hint="eastAsia" w:ascii="宋体" w:hAnsi="宋体" w:eastAsia="宋体" w:cs="宋体"/>
          <w:color w:val="auto"/>
          <w:sz w:val="24"/>
          <w:highlight w:val="none"/>
        </w:rPr>
        <w:t>的用电企业，统一社会信用代码：</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，住所：</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，法定代表人/授权代理人：</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。甲方开户银行及账号：开户名称：</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账号：</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61CEFB7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甲方合同联系人（必填）：</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，联系电话（必填）：</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，联系邮箱：</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28FA621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甲方用电地址：</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2E9603E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对应户号：</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0D7BC1B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（如用电地址有多个，可以自行扩展补充或作为附表列出）</w:t>
      </w:r>
    </w:p>
    <w:p w14:paraId="47F25EB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2、售电方（售电公司，以下简称乙方）：</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，系一家具有法人资格的售电公司，企业所在地为</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办理工商登记注册，统一社会信用代码：</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，住所：</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，法定代表人/授权代理人：</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。乙方开户银行及账号：开户名称：</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　账号：</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7734D69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乙方合同联系人（必填）：</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，联系电话（必填）：</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，联系邮箱：</w:t>
      </w:r>
      <w:r>
        <w:rPr>
          <w:rFonts w:hint="eastAsia" w:ascii="宋体" w:hAnsi="宋体" w:eastAsia="宋体" w:cs="宋体"/>
          <w:color w:val="auto"/>
          <w:sz w:val="24"/>
          <w:highlight w:val="none"/>
          <w:u w:val="single"/>
        </w:rPr>
        <w:t>______________</w:t>
      </w:r>
      <w:r>
        <w:rPr>
          <w:rFonts w:hint="eastAsia" w:ascii="宋体" w:hAnsi="宋体" w:eastAsia="宋体" w:cs="宋体"/>
          <w:color w:val="auto"/>
          <w:sz w:val="24"/>
          <w:highlight w:val="none"/>
        </w:rPr>
        <w:t>。</w:t>
      </w:r>
    </w:p>
    <w:p w14:paraId="732AF36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w:t>
      </w:r>
    </w:p>
    <w:p w14:paraId="50968D4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1、甲方已和所在地电网企业（含增量配网企业，下同）签订正式供用电合同（非临时用电协议），甲方所有的供电（含供电安全、用电容量、抄表计量等）和资金缴费事宜均由所在地电网企业承担。</w:t>
      </w:r>
    </w:p>
    <w:p w14:paraId="1B8F356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2、乙方符合国家发展改革委、</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"https://www.pkulaw.com/chl/f1aad16db682e9babdfb.html"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国家能源局《售电公司准入与退出管理办法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》准入条件，在江苏电力交易中心有限公司（以下简称：交易中心）完成公示、承诺、注册、备案程序，具备参加电力市场的购售电资格。</w:t>
      </w:r>
    </w:p>
    <w:p w14:paraId="3F3B7B6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甲、乙双方通过交易中心及电网企业的输配电网络完成电能购售电交易，双方根据国家有关法律、法规，依据江苏省政府相关部门电力体制改革政策文件，本着平等、自愿、公平和诚信的原则，经协商一致，签订本合同。</w:t>
      </w:r>
    </w:p>
    <w:p w14:paraId="387795F9">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第一章　定义和解释</w:t>
      </w:r>
    </w:p>
    <w:p w14:paraId="2C7BA4C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1.1定义</w:t>
      </w:r>
    </w:p>
    <w:p w14:paraId="1925B78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1.1.1合约电量：是指本合同项下约定的交易电量。</w:t>
      </w:r>
    </w:p>
    <w:p w14:paraId="4567505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1.1.2结算周期：是指交易中心在一定时间内对市场成员按照各类交易合同对实际用电进行电费结算的时间周期。目前为按照公历计算的自然月。</w:t>
      </w:r>
    </w:p>
    <w:p w14:paraId="0D7346B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1.1.3结算电量：是指电力交易中心依据电力市场交易规则，结合电力用户的实际抄表电量，为本合同实际执行出具的结算电量数值。包括实际用电量和超出合同约定偏差范围的偏差电量。</w:t>
      </w:r>
    </w:p>
    <w:p w14:paraId="57A854EC">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1.1.4直接交易基准价：指当期江苏省燃煤机组上网基准价与超低排放电价之和。</w:t>
      </w:r>
    </w:p>
    <w:p w14:paraId="556ECEF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1.1.5市场化成交电价：指售电公司与电力用户确定的市场化电量交易价格，不含输配电价、辅助服务费用和政府性基金及附加。</w:t>
      </w:r>
    </w:p>
    <w:p w14:paraId="03D4289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1.1.6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p>
    <w:p w14:paraId="061EB52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1.2解释</w:t>
      </w:r>
    </w:p>
    <w:p w14:paraId="25FD64A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1.2.1本合同中的标题仅为阅读方便，不应被视为本合同的组成部分，亦不应以任何方式影响对本合同的解释。</w:t>
      </w:r>
    </w:p>
    <w:p w14:paraId="5BE833F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1.2.2本合同附件与正文具有同等的法律效力。</w:t>
      </w:r>
    </w:p>
    <w:p w14:paraId="2D080BC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1.2.3本合同对任何一方的合法承继者或受让人具有约束力。但当事人另有约定的除外。遇有本款约定的情形时，相关义务人应当依法履行必要的通知义务及完备的法律手续。</w:t>
      </w:r>
    </w:p>
    <w:p w14:paraId="4DE396C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1.2.4除上下文另有要求外，本合同所指的日、月、年均为公历北京时间的日、月、年，货币计价单位均为人民币（含税）。</w:t>
      </w:r>
    </w:p>
    <w:p w14:paraId="03443D24">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第二章　双方陈述</w:t>
      </w:r>
    </w:p>
    <w:p w14:paraId="0149E5A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甲、乙双方任何一方在此向对方陈述如下：</w:t>
      </w:r>
    </w:p>
    <w:p w14:paraId="314D126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2.1本方为一家依法设立并合法存续的企业，有权签署并有能力履行本合同。</w:t>
      </w:r>
    </w:p>
    <w:p w14:paraId="40DFF8F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2.2本方签署和履行本合同所需的一切手续（包括办理必要的政府批准、取得营业执照等）均已办妥并合法有效。</w:t>
      </w:r>
    </w:p>
    <w:p w14:paraId="1865AB8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2.3在签署本合同时，任何法院、仲裁机构、行政机关或能源监管机构均未做出过任何足以对本方履行本合同产生重大不利影响的判决、裁定、裁决或具体行政行为。</w:t>
      </w:r>
    </w:p>
    <w:p w14:paraId="078F692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2.4本方为签署本合同所需的内部授权程序均已完成，签署本合同的是本方法定代表人或授权代理人，并且本合同生效后即对双方具有法律约束力。</w:t>
      </w:r>
    </w:p>
    <w:p w14:paraId="25B4655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2.5本方签署的合同内容符合国家有关市场化交易的法律、法规以及政策等。</w:t>
      </w:r>
    </w:p>
    <w:p w14:paraId="3B2FAB4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2.6如国家法律、法规发生变化或者政府有关部门、能源监管机构出台有关规定、规则，合同双方同意按照法律、法规、规定和规则予以调整和修改。</w:t>
      </w:r>
    </w:p>
    <w:p w14:paraId="493C9C77">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第三章　双方的权利和义务</w:t>
      </w:r>
    </w:p>
    <w:p w14:paraId="4400A62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3.1甲方的权利包括：</w:t>
      </w:r>
    </w:p>
    <w:p w14:paraId="3B06EE2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3.1.1公平参加江苏电力市场。提交、核对、完善、注销在江苏电力交易平台上注册的甲方基础资料信息；</w:t>
      </w:r>
    </w:p>
    <w:p w14:paraId="6D302E3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3.1.2获得江苏电力市场所有向社会公开以及行业内公开的信息；</w:t>
      </w:r>
    </w:p>
    <w:p w14:paraId="0B08182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3.1.3获得乙方与本合同相关的各类交易中标情况；</w:t>
      </w:r>
    </w:p>
    <w:p w14:paraId="632FAFF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3.1.4未经甲方授权，甲方自身的用电信息以及与本合同相关信息（含电价约定），乙方不得向第三方提供（交易中心及法定监管机构除外）。</w:t>
      </w:r>
    </w:p>
    <w:p w14:paraId="4ECC6E0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3.2甲方的义务包括：</w:t>
      </w:r>
    </w:p>
    <w:p w14:paraId="7B251CF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3.2.1甲方的用电计划和主要设备检修计划，应向乙方如实提供并及时更新；配合乙方的用电计划预测和调整工作；</w:t>
      </w:r>
    </w:p>
    <w:p w14:paraId="79EA806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3.2.2向乙方提供用电关口计量的历史信息；遵守电力市场信息发布管理规定，不得将乙方与本合同有关的交易信息向第三方提供，也不得将电力市场行业内信息向社会公开；</w:t>
      </w:r>
    </w:p>
    <w:p w14:paraId="2C4DB3C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3.2.3及时向乙方通报甲方的用电增减容、企业关停或搬迁、厂房转租以及用电户号的并户、销户、改名、过户等可能影响电力市场交易的情况；</w:t>
      </w:r>
    </w:p>
    <w:p w14:paraId="50E0076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3.2.4及时向电网公司缴纳电费（含市场化交易可能产生的偏差费用）；</w:t>
      </w:r>
    </w:p>
    <w:p w14:paraId="5A575C3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3.2.5甲方如参加分布式发电市场化交易，则应将分布式发电市场化交易的全年和分月电量通报乙方。</w:t>
      </w:r>
    </w:p>
    <w:p w14:paraId="25DE16B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3.2.6发生紧急情况时，按照相关规定执行。</w:t>
      </w:r>
    </w:p>
    <w:p w14:paraId="2F6F1D1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3.3乙方的权利包括：</w:t>
      </w:r>
    </w:p>
    <w:p w14:paraId="5479B7C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3.3.1要求甲方提供履行本合同义务相关的信息、资料及查阅关口计量历史数据。</w:t>
      </w:r>
    </w:p>
    <w:p w14:paraId="2DE5740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3.3.2查阅甲方实际的电费核查联、结算单（与市场化相关部分）。</w:t>
      </w:r>
    </w:p>
    <w:p w14:paraId="7193FFF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3.3.3有权要求甲方及时通报该企业的用电增减容、企业关停或搬迁、厂房转租以及用电户号的并户、销户、改名、过户等可能影响电力市场交易的情况；</w:t>
      </w:r>
    </w:p>
    <w:p w14:paraId="4BD013C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3.4乙方的义务包括：</w:t>
      </w:r>
    </w:p>
    <w:p w14:paraId="6C7479E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3.4.1按照国家有关法规、规定和技术规范，为甲方提供电力交易和参与江苏电力辅助服务市场相关服务，参与电力市场交易并按规定结算。</w:t>
      </w:r>
    </w:p>
    <w:p w14:paraId="58CA503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3.4.2按照国家规定，作为可再生能源电力的消纳责任主体，承担可再生能源电力的消纳责任。</w:t>
      </w:r>
    </w:p>
    <w:p w14:paraId="5CFFB78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3.4.3按照电力市场信息发布管理规定，向甲方、交易中心提供真实准确的有关电力直接交易的相关信息及资料；</w:t>
      </w:r>
    </w:p>
    <w:p w14:paraId="0F96309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根据国家有关法规支付电力交易相关费用；</w:t>
      </w:r>
    </w:p>
    <w:p w14:paraId="540DBC2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协助甲方申请办理电力交易有关手续；</w:t>
      </w:r>
    </w:p>
    <w:p w14:paraId="5BD68D7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按照相关规则、规定向交易中心提交银行履约保函，担保合同的履约。</w:t>
      </w:r>
    </w:p>
    <w:p w14:paraId="6F354B8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发生紧急情况时，按照相关规定执行。</w:t>
      </w:r>
    </w:p>
    <w:p w14:paraId="30C2A912">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第四章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合同周期、交易电量（力）、电价</w:t>
      </w:r>
    </w:p>
    <w:p w14:paraId="0D57438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4.1双方约定：甲方自</w:t>
      </w:r>
      <w:r>
        <w:rPr>
          <w:rFonts w:hint="eastAsia" w:ascii="宋体" w:hAnsi="宋体" w:eastAsia="宋体" w:cs="宋体"/>
          <w:color w:val="auto"/>
          <w:sz w:val="24"/>
          <w:highlight w:val="none"/>
          <w:u w:val="single"/>
        </w:rPr>
        <w:t>__202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__1_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__1_</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u w:val="single"/>
        </w:rPr>
        <w:t>_202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_12_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_31_</w:t>
      </w:r>
      <w:r>
        <w:rPr>
          <w:rFonts w:hint="eastAsia" w:ascii="宋体" w:hAnsi="宋体" w:eastAsia="宋体" w:cs="宋体"/>
          <w:color w:val="auto"/>
          <w:sz w:val="24"/>
          <w:highlight w:val="none"/>
        </w:rPr>
        <w:t>日的全部市场化可交易用电电量（不含分布式发电市场化交易电量，下同）预估约</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3488</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万千瓦时，向乙方购买</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lang w:val="en-US" w:eastAsia="zh-CN"/>
        </w:rPr>
        <w:t>必填</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DFCDD6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p>
    <w:p w14:paraId="28CD381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4.3</w:t>
      </w:r>
      <w:r>
        <w:rPr>
          <w:rFonts w:hint="eastAsia" w:ascii="宋体" w:hAnsi="宋体" w:eastAsia="宋体" w:cs="宋体"/>
          <w:b/>
          <w:bCs/>
          <w:color w:val="auto"/>
          <w:sz w:val="24"/>
          <w:highlight w:val="none"/>
        </w:rPr>
        <w:t>甲方的结算电价=市场化成交电价+输配电价格+辅助服务费用+政府性基金及附加。</w:t>
      </w:r>
      <w:r>
        <w:rPr>
          <w:rFonts w:hint="eastAsia" w:ascii="宋体" w:hAnsi="宋体" w:eastAsia="宋体" w:cs="宋体"/>
          <w:color w:val="auto"/>
          <w:sz w:val="24"/>
          <w:highlight w:val="none"/>
        </w:rPr>
        <w:t>其中输配电价格、政府性基金及附加根据江苏省发展和改革委员会价格部门的发文确定，辅助服务费用根据江苏电力辅助服务市场相关交易规则由全体市场化用户承担。</w:t>
      </w:r>
    </w:p>
    <w:p w14:paraId="61BE1D33">
      <w:pPr>
        <w:keepNext w:val="0"/>
        <w:keepLines w:val="0"/>
        <w:pageBreakBefore w:val="0"/>
        <w:widowControl w:val="0"/>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4.4交易电量的电价约定方案：</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价格浮动套餐</w:t>
      </w:r>
      <w:r>
        <w:rPr>
          <w:rFonts w:hint="eastAsia" w:ascii="宋体" w:hAnsi="宋体" w:eastAsia="宋体" w:cs="宋体"/>
          <w:color w:val="auto"/>
          <w:sz w:val="24"/>
          <w:highlight w:val="none"/>
          <w:u w:val="single"/>
        </w:rPr>
        <w:t>。</w:t>
      </w:r>
    </w:p>
    <w:p w14:paraId="34A53BE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甲方各用电户号的总交易用电电量，以月度为结算周期，</w:t>
      </w:r>
      <w:r>
        <w:rPr>
          <w:rFonts w:hint="eastAsia" w:ascii="宋体" w:hAnsi="宋体" w:eastAsia="宋体" w:cs="宋体"/>
          <w:color w:val="auto"/>
          <w:sz w:val="24"/>
          <w:highlight w:val="none"/>
          <w:u w:val="single"/>
        </w:rPr>
        <w:t>_100__</w:t>
      </w:r>
      <w:r>
        <w:rPr>
          <w:rFonts w:hint="eastAsia" w:ascii="宋体" w:hAnsi="宋体" w:eastAsia="宋体" w:cs="宋体"/>
          <w:color w:val="auto"/>
          <w:sz w:val="24"/>
          <w:highlight w:val="none"/>
        </w:rPr>
        <w:t>%比例的电量采用</w:t>
      </w:r>
      <w:r>
        <w:rPr>
          <w:rFonts w:hint="eastAsia" w:ascii="宋体" w:hAnsi="宋体" w:eastAsia="宋体" w:cs="宋体"/>
          <w:color w:val="auto"/>
          <w:sz w:val="24"/>
          <w:highlight w:val="none"/>
          <w:lang w:val="en-US" w:eastAsia="zh-CN"/>
        </w:rPr>
        <w:t>价差浮动</w:t>
      </w:r>
      <w:r>
        <w:rPr>
          <w:rFonts w:hint="eastAsia" w:ascii="宋体" w:hAnsi="宋体" w:eastAsia="宋体" w:cs="宋体"/>
          <w:color w:val="auto"/>
          <w:sz w:val="24"/>
          <w:highlight w:val="none"/>
        </w:rPr>
        <w:t>方式。具体</w:t>
      </w:r>
      <w:r>
        <w:rPr>
          <w:rFonts w:hint="eastAsia" w:ascii="宋体" w:hAnsi="宋体" w:eastAsia="宋体" w:cs="宋体"/>
          <w:color w:val="auto"/>
          <w:sz w:val="24"/>
          <w:highlight w:val="none"/>
          <w:lang w:val="en-US" w:eastAsia="zh-CN"/>
        </w:rPr>
        <w:t>价差浮动</w:t>
      </w:r>
      <w:r>
        <w:rPr>
          <w:rFonts w:hint="eastAsia" w:ascii="宋体" w:hAnsi="宋体" w:eastAsia="宋体" w:cs="宋体"/>
          <w:color w:val="auto"/>
          <w:sz w:val="24"/>
          <w:highlight w:val="none"/>
        </w:rPr>
        <w:t>方式按照以下约定执行：</w:t>
      </w:r>
    </w:p>
    <w:p w14:paraId="4A119A79">
      <w:pPr>
        <w:keepNext w:val="0"/>
        <w:keepLines w:val="0"/>
        <w:pageBreakBefore w:val="0"/>
        <w:widowControl w:val="0"/>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价格浮动</w:t>
      </w:r>
      <w:r>
        <w:rPr>
          <w:rFonts w:hint="eastAsia" w:ascii="宋体" w:hAnsi="宋体" w:eastAsia="宋体" w:cs="宋体"/>
          <w:color w:val="auto"/>
          <w:sz w:val="24"/>
          <w:highlight w:val="none"/>
        </w:rPr>
        <w:t>方式：</w:t>
      </w:r>
      <w:r>
        <w:rPr>
          <w:rFonts w:hint="eastAsia" w:ascii="宋体" w:hAnsi="宋体" w:eastAsia="宋体" w:cs="宋体"/>
          <w:b/>
          <w:bCs/>
          <w:color w:val="auto"/>
          <w:sz w:val="24"/>
          <w:highlight w:val="none"/>
        </w:rPr>
        <w:t>甲方名下用电户号，市场化</w:t>
      </w:r>
      <w:r>
        <w:rPr>
          <w:rFonts w:hint="eastAsia" w:ascii="宋体" w:hAnsi="宋体" w:eastAsia="宋体" w:cs="宋体"/>
          <w:b/>
          <w:bCs/>
          <w:color w:val="auto"/>
          <w:sz w:val="24"/>
          <w:highlight w:val="none"/>
          <w:lang w:val="en-US" w:eastAsia="zh-CN"/>
        </w:rPr>
        <w:t>电量的</w:t>
      </w:r>
      <w:r>
        <w:rPr>
          <w:rFonts w:hint="eastAsia" w:ascii="宋体" w:hAnsi="宋体" w:eastAsia="宋体" w:cs="宋体"/>
          <w:b/>
          <w:bCs/>
          <w:color w:val="auto"/>
          <w:sz w:val="24"/>
          <w:highlight w:val="none"/>
          <w:u w:val="single"/>
          <w:lang w:val="en-US" w:eastAsia="zh-CN"/>
        </w:rPr>
        <w:t xml:space="preserve">  100  </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按照</w:t>
      </w:r>
      <w:r>
        <w:rPr>
          <w:rFonts w:hint="eastAsia" w:ascii="宋体" w:hAnsi="宋体" w:eastAsia="宋体" w:cs="宋体"/>
          <w:b/>
          <w:bCs/>
          <w:color w:val="auto"/>
          <w:sz w:val="24"/>
          <w:highlight w:val="none"/>
          <w:lang w:val="en-US" w:eastAsia="zh-CN"/>
        </w:rPr>
        <w:t>批发市场年度长协议交易均价</w:t>
      </w:r>
      <w:r>
        <w:rPr>
          <w:rFonts w:hint="eastAsia" w:ascii="宋体" w:hAnsi="宋体" w:eastAsia="宋体" w:cs="宋体"/>
          <w:b/>
          <w:bCs/>
          <w:color w:val="auto"/>
          <w:sz w:val="24"/>
          <w:highlight w:val="none"/>
          <w:u w:val="single"/>
          <w:lang w:val="en-US" w:eastAsia="zh-CN"/>
        </w:rPr>
        <w:t>下浮</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（单位：元/千瓦时）结算。</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lang w:val="en-US" w:eastAsia="zh-CN"/>
        </w:rPr>
        <w:t>%按照批发市场月度竞价出清价结算，</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lang w:val="en-US" w:eastAsia="zh-CN"/>
        </w:rPr>
        <w:t>%按照代理购电价格结算，</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lang w:val="en-US" w:eastAsia="zh-CN"/>
        </w:rPr>
        <w:t>%按照批发市场月内挂牌均价结算。</w:t>
      </w:r>
    </w:p>
    <w:p w14:paraId="52DB0C7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双方补充约定如下：</w:t>
      </w:r>
      <w:r>
        <w:rPr>
          <w:rFonts w:hint="eastAsia" w:ascii="宋体" w:hAnsi="宋体" w:eastAsia="宋体" w:cs="宋体"/>
          <w:color w:val="auto"/>
          <w:sz w:val="24"/>
          <w:highlight w:val="none"/>
          <w:u w:val="single"/>
        </w:rPr>
        <w:t xml:space="preserve">       /       。</w:t>
      </w:r>
    </w:p>
    <w:p w14:paraId="285D8D49">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rPr>
        <w:t>限价:年度长协实际结算电价不高于</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(单位:元/千瓦时);月度竞价实际结算电价不高于</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(单位:元/千瓦时);代理购电实际结算电价不高于</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(单位:元/千瓦时);月内挂牌实际结算电价不高于</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w:t>
      </w:r>
    </w:p>
    <w:p w14:paraId="7D50255E">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是/否参与绿电</w:t>
      </w:r>
      <w:r>
        <w:rPr>
          <w:rFonts w:hint="eastAsia" w:ascii="宋体" w:hAnsi="宋体" w:eastAsia="宋体" w:cs="宋体"/>
          <w:color w:val="auto"/>
          <w:sz w:val="24"/>
          <w:szCs w:val="24"/>
          <w:highlight w:val="none"/>
          <w:lang w:val="en-US" w:eastAsia="zh-CN"/>
        </w:rPr>
        <w:t>，绿电价格按照</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(单位:元/千瓦时)方式结算。</w:t>
      </w:r>
    </w:p>
    <w:p w14:paraId="183F87C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4.5电量及偏差约定：</w:t>
      </w:r>
    </w:p>
    <w:p w14:paraId="517052CF">
      <w:pPr>
        <w:keepNext w:val="0"/>
        <w:keepLines w:val="0"/>
        <w:pageBreakBefore w:val="0"/>
        <w:widowControl w:val="0"/>
        <w:spacing w:line="360" w:lineRule="auto"/>
        <w:ind w:firstLine="420"/>
        <w:rPr>
          <w:rFonts w:hint="eastAsia" w:ascii="宋体" w:hAnsi="宋体" w:eastAsia="宋体" w:cs="宋体"/>
          <w:color w:val="auto"/>
          <w:spacing w:val="-6"/>
          <w:sz w:val="22"/>
          <w:szCs w:val="22"/>
          <w:highlight w:val="none"/>
        </w:rPr>
      </w:pPr>
      <w:r>
        <w:rPr>
          <w:rFonts w:hint="eastAsia" w:ascii="宋体" w:hAnsi="宋体" w:eastAsia="宋体" w:cs="宋体"/>
          <w:color w:val="auto"/>
          <w:sz w:val="24"/>
          <w:highlight w:val="none"/>
        </w:rPr>
        <w:t>甲方在本合同周期内各户号的电量总和，暂按照以下分月预估电量（甲方用电分月计划表），合计电量为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万千瓦时。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0"/>
        <w:gridCol w:w="4081"/>
      </w:tblGrid>
      <w:tr w14:paraId="178F5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tblHeader/>
          <w:jc w:val="center"/>
        </w:trPr>
        <w:tc>
          <w:tcPr>
            <w:tcW w:w="2840" w:type="dxa"/>
            <w:noWrap w:val="0"/>
            <w:vAlign w:val="center"/>
          </w:tcPr>
          <w:p w14:paraId="73580D84">
            <w:pPr>
              <w:keepNext w:val="0"/>
              <w:keepLines w:val="0"/>
              <w:pageBreakBefore w:val="0"/>
              <w:widowControl w:val="0"/>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w:t>
            </w:r>
          </w:p>
        </w:tc>
        <w:tc>
          <w:tcPr>
            <w:tcW w:w="4081" w:type="dxa"/>
            <w:noWrap w:val="0"/>
            <w:vAlign w:val="center"/>
          </w:tcPr>
          <w:p w14:paraId="31C70D56">
            <w:pPr>
              <w:keepNext w:val="0"/>
              <w:keepLines w:val="0"/>
              <w:pageBreakBefore w:val="0"/>
              <w:widowControl w:val="0"/>
              <w:spacing w:line="360" w:lineRule="auto"/>
              <w:ind w:right="979"/>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分月计划（万千瓦时）</w:t>
            </w:r>
          </w:p>
        </w:tc>
      </w:tr>
      <w:tr w14:paraId="41F3B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0862F8D8">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5FF49588">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692D1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05B07F1B">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20860403">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442BA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2738F48B">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67761606">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4F92D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75024F2E">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2AA0CF14">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2FE3D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49A295E3">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25685EED">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05F96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38BEEE9C">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0C05D79A">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39DDF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6B76B1BC">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15336FB8">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51117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7BE254D0">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10D81608">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16BE0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612D6283">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30B96345">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1DD41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2533B044">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5541523A">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61EB5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6637F111">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39276461">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r w14:paraId="0793A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1B96EEB6">
            <w:pPr>
              <w:keepNext w:val="0"/>
              <w:keepLines w:val="0"/>
              <w:pageBreakBefore w:val="0"/>
              <w:widowControl w:val="0"/>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5391A817">
            <w:pPr>
              <w:keepNext w:val="0"/>
              <w:keepLines w:val="0"/>
              <w:pageBreakBefore w:val="0"/>
              <w:widowControl w:val="0"/>
              <w:spacing w:line="360" w:lineRule="auto"/>
              <w:jc w:val="center"/>
              <w:rPr>
                <w:rFonts w:hint="eastAsia" w:ascii="宋体" w:hAnsi="宋体" w:eastAsia="宋体" w:cs="宋体"/>
                <w:color w:val="auto"/>
                <w:sz w:val="22"/>
                <w:szCs w:val="22"/>
                <w:highlight w:val="none"/>
              </w:rPr>
            </w:pPr>
          </w:p>
        </w:tc>
      </w:tr>
    </w:tbl>
    <w:p w14:paraId="64E37FE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E8E1CB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分月合同电量按照政府相关规则、规定分时段约定，具体分解方式由交易双方按照电网典型负荷曲线、各自用电负荷特性及其他方式自行约定，交易各时段电量以附件方式明确。</w:t>
      </w:r>
    </w:p>
    <w:p w14:paraId="022FF85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双方约定：甲方的分月电量计划，可以在执行月开始日的15天前，通知乙方无条件修改；在执行月开始日之前的15天以内，双方协商修改分月计划。</w:t>
      </w:r>
    </w:p>
    <w:p w14:paraId="19ACC5E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双方同时约定，对执行月实际电量与分月电量产生的偏差，甲方的实际电量与分月计划电量相比较，在正负偏差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%以内的电量，全部执行本合同4.4条约定的价格；超出正偏差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%以外部分，按照价格结算；超出负偏差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%以外部分，需要按照</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价格补偿乙方。</w:t>
      </w:r>
    </w:p>
    <w:p w14:paraId="42BE002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4.6电力曲线约定：</w:t>
      </w:r>
    </w:p>
    <w:p w14:paraId="202A987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双方约定：在现货市场环境下，</w:t>
      </w:r>
      <w:r>
        <w:rPr>
          <w:rFonts w:hint="eastAsia" w:ascii="宋体" w:hAnsi="宋体" w:eastAsia="宋体" w:cs="宋体"/>
          <w:color w:val="auto"/>
          <w:sz w:val="24"/>
          <w:highlight w:val="none"/>
          <w:u w:val="single"/>
        </w:rPr>
        <w:t xml:space="preserve"> 不执行 </w:t>
      </w:r>
      <w:r>
        <w:rPr>
          <w:rFonts w:hint="eastAsia" w:ascii="宋体" w:hAnsi="宋体" w:eastAsia="宋体" w:cs="宋体"/>
          <w:color w:val="auto"/>
          <w:sz w:val="24"/>
          <w:highlight w:val="none"/>
        </w:rPr>
        <w:t>双方约定的标准用电曲线。若执行，甲方需提供标准用电曲线，并可以在执行开始日的天前，通知乙方无条件修改。双方同时约定，对执行月实际用电曲线与标准曲线产生的偏差，在正负偏差</w:t>
      </w:r>
      <w:r>
        <w:rPr>
          <w:rFonts w:hint="eastAsia" w:ascii="宋体" w:hAnsi="宋体" w:eastAsia="宋体" w:cs="宋体"/>
          <w:color w:val="auto"/>
          <w:sz w:val="24"/>
          <w:highlight w:val="none"/>
          <w:u w:val="single"/>
        </w:rPr>
        <w:t>___/___</w:t>
      </w:r>
      <w:r>
        <w:rPr>
          <w:rFonts w:hint="eastAsia" w:ascii="宋体" w:hAnsi="宋体" w:eastAsia="宋体" w:cs="宋体"/>
          <w:color w:val="auto"/>
          <w:sz w:val="24"/>
          <w:highlight w:val="none"/>
        </w:rPr>
        <w:t>%以内的电量，全部执行本合同4.4条约定的价格；超出正偏差</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%以外部分，按照</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w:t>
      </w:r>
      <w:r>
        <w:rPr>
          <w:rFonts w:hint="eastAsia" w:ascii="宋体" w:hAnsi="宋体" w:eastAsia="宋体" w:cs="宋体"/>
          <w:color w:val="auto"/>
          <w:sz w:val="24"/>
          <w:highlight w:val="none"/>
        </w:rPr>
        <w:t>价格结算；超出负偏差</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%以外部分，需要按照</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(单位:元/千瓦时)</w:t>
      </w:r>
      <w:r>
        <w:rPr>
          <w:rFonts w:hint="eastAsia" w:ascii="宋体" w:hAnsi="宋体" w:eastAsia="宋体" w:cs="宋体"/>
          <w:color w:val="auto"/>
          <w:sz w:val="24"/>
          <w:highlight w:val="none"/>
        </w:rPr>
        <w:t>价格补偿乙方。</w:t>
      </w:r>
    </w:p>
    <w:p w14:paraId="4078CE56">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第五章　计量、结算和支付</w:t>
      </w:r>
    </w:p>
    <w:p w14:paraId="173FF57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5.1甲方的计量点按照甲方与供电企业签订的供用电合同执行，不再另行约定电力交易计量点。</w:t>
      </w:r>
    </w:p>
    <w:p w14:paraId="7E7F0DFD">
      <w:pPr>
        <w:keepNext w:val="0"/>
        <w:keepLines w:val="0"/>
        <w:pageBreakBefore w:val="0"/>
        <w:widowControl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5.2甲方的电费支付，保持现有向电网企业缴费的方式不变，其中甲方的电价优惠，可以直接在向电网企业缴交的用电电费中扣减。乙方的电费收取方式按照电力市场交易规则执行。双方无代缴、代扣和担保义务。</w:t>
      </w:r>
    </w:p>
    <w:p w14:paraId="3CCE5F65">
      <w:pPr>
        <w:keepNext w:val="0"/>
        <w:keepLines w:val="0"/>
        <w:pageBreakBefore w:val="0"/>
        <w:widowControl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5.3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p>
    <w:p w14:paraId="253DDF2F">
      <w:pPr>
        <w:keepNext w:val="0"/>
        <w:keepLines w:val="0"/>
        <w:pageBreakBefore w:val="0"/>
        <w:widowControl w:val="0"/>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5.4其他补充约定：</w:t>
      </w:r>
      <w:r>
        <w:rPr>
          <w:rFonts w:hint="eastAsia" w:ascii="宋体" w:hAnsi="宋体" w:eastAsia="宋体" w:cs="宋体"/>
          <w:color w:val="auto"/>
          <w:sz w:val="24"/>
          <w:highlight w:val="none"/>
          <w:u w:val="single"/>
        </w:rPr>
        <w:t xml:space="preserve">  /。</w:t>
      </w:r>
    </w:p>
    <w:p w14:paraId="3FDF7A86">
      <w:pPr>
        <w:keepNext w:val="0"/>
        <w:keepLines w:val="0"/>
        <w:pageBreakBefore w:val="0"/>
        <w:widowControl w:val="0"/>
        <w:spacing w:line="360" w:lineRule="auto"/>
        <w:ind w:firstLine="48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具体以实际使用电量为准</w:t>
      </w:r>
      <w:r>
        <w:rPr>
          <w:rFonts w:hint="eastAsia" w:ascii="宋体" w:hAnsi="宋体" w:eastAsia="宋体" w:cs="宋体"/>
          <w:color w:val="auto"/>
          <w:sz w:val="24"/>
          <w:highlight w:val="none"/>
          <w:u w:val="single"/>
          <w:lang w:eastAsia="zh-CN"/>
        </w:rPr>
        <w:t>。</w:t>
      </w:r>
    </w:p>
    <w:p w14:paraId="3698CBA2">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第六章　合同变更、解除与违约赔偿</w:t>
      </w:r>
    </w:p>
    <w:p w14:paraId="383CDB4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p>
    <w:p w14:paraId="0BDC4C00">
      <w:pPr>
        <w:keepNext w:val="0"/>
        <w:keepLines w:val="0"/>
        <w:pageBreakBefore w:val="0"/>
        <w:widowControl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6.2本合同到期，选择方式</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处理</w:t>
      </w:r>
      <w:r>
        <w:rPr>
          <w:rFonts w:hint="eastAsia" w:ascii="宋体" w:hAnsi="宋体" w:eastAsia="宋体" w:cs="宋体"/>
          <w:color w:val="auto"/>
          <w:sz w:val="24"/>
          <w:highlight w:val="none"/>
          <w:lang w:eastAsia="zh-CN"/>
        </w:rPr>
        <w:t>：</w:t>
      </w:r>
    </w:p>
    <w:p w14:paraId="32629735">
      <w:pPr>
        <w:keepNext w:val="0"/>
        <w:keepLines w:val="0"/>
        <w:pageBreakBefore w:val="0"/>
        <w:widowControl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方式1:自动解除，任何一方提前未经对方同意解除合同视为违约</w:t>
      </w:r>
      <w:r>
        <w:rPr>
          <w:rFonts w:hint="eastAsia" w:ascii="宋体" w:hAnsi="宋体" w:eastAsia="宋体" w:cs="宋体"/>
          <w:color w:val="auto"/>
          <w:sz w:val="24"/>
          <w:highlight w:val="none"/>
          <w:lang w:eastAsia="zh-CN"/>
        </w:rPr>
        <w:t>；</w:t>
      </w:r>
    </w:p>
    <w:p w14:paraId="50739B2D">
      <w:pPr>
        <w:keepNext w:val="0"/>
        <w:keepLines w:val="0"/>
        <w:pageBreakBefore w:val="0"/>
        <w:widowControl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方式2:按自然月滚动续约，发生以下两种情形的将取消滚动续约</w:t>
      </w:r>
      <w:r>
        <w:rPr>
          <w:rFonts w:hint="eastAsia" w:ascii="宋体" w:hAnsi="宋体" w:eastAsia="宋体" w:cs="宋体"/>
          <w:color w:val="auto"/>
          <w:sz w:val="24"/>
          <w:highlight w:val="none"/>
          <w:lang w:eastAsia="zh-CN"/>
        </w:rPr>
        <w:t>：</w:t>
      </w:r>
    </w:p>
    <w:p w14:paraId="28B6CE10">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highlight w:val="none"/>
        </w:rPr>
        <w:t>合同双方在协商一致情况下主动取消</w:t>
      </w:r>
      <w:r>
        <w:rPr>
          <w:rFonts w:hint="eastAsia" w:ascii="宋体" w:hAnsi="宋体" w:eastAsia="宋体" w:cs="宋体"/>
          <w:color w:val="auto"/>
          <w:sz w:val="24"/>
          <w:highlight w:val="none"/>
          <w:lang w:eastAsia="zh-CN"/>
        </w:rPr>
        <w:t>；</w:t>
      </w:r>
    </w:p>
    <w:p w14:paraId="030F1058">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合同甲方完成下一个合同周期零售交易。</w:t>
      </w:r>
    </w:p>
    <w:p w14:paraId="0F5E1E1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6.3如因乙方责任，没有及时完成本合同在交易中心的备案或其他相关执行手续，导致本合同无法执行，双方约定：</w:t>
      </w:r>
    </w:p>
    <w:p w14:paraId="1313D714">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highlight w:val="none"/>
        </w:rPr>
        <w:t>若在合同约定的实际开始执行前30日前书面通知甲方，提出解约，乙方一次性赔偿甲方</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万元的签约损失；</w:t>
      </w:r>
    </w:p>
    <w:p w14:paraId="02BF24B8">
      <w:pPr>
        <w:keepNext w:val="0"/>
        <w:keepLines w:val="0"/>
        <w:pageBreakBefore w:val="0"/>
        <w:widowControl w:val="0"/>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（2）其他情况，乙方一次性赔偿甲方</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万元的损失。</w:t>
      </w:r>
    </w:p>
    <w:p w14:paraId="67C6070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6.4如在合同周期内，乙方未按照本合同约定给甲方进行结算，需按照合同约定结算电费和实际结算电费的差额部分的</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倍赔偿甲方。</w:t>
      </w:r>
    </w:p>
    <w:p w14:paraId="08B010D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6.5如甲方在合同周期内，未经乙方书面同意，与其他售电公司签订购售电合同、不配合在交易中心办理备案及其他相关手续、转为批发市场用户等行为导致本合同无法执行，双方约定，按照以下条款，甲方应</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赔偿乙方：</w:t>
      </w:r>
    </w:p>
    <w:p w14:paraId="6729579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（1）在合同约定的实际开始执行前30日前提出解约，一次性赔偿乙方</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万元的签约损失；</w:t>
      </w:r>
    </w:p>
    <w:p w14:paraId="3F2FFB0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（2）在合同约定的实际开始执行前30日内提出解约，一次性赔偿乙方</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万元的签约损失；</w:t>
      </w:r>
    </w:p>
    <w:p w14:paraId="5278A662">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（3）在合同执行过程中，甲方要求解约，按照未履约月份，向乙方按照每个月</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万元的签约损失赔偿。</w:t>
      </w:r>
    </w:p>
    <w:p w14:paraId="2DE75CEA">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第七章　保密及争议解决</w:t>
      </w:r>
    </w:p>
    <w:p w14:paraId="1091F4C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7.1保密</w:t>
      </w:r>
    </w:p>
    <w:p w14:paraId="65AF44F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p>
    <w:p w14:paraId="026CCAF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本合同中有关解除、争议解决和保密的条款在本合同解除后仍然有效。</w:t>
      </w:r>
    </w:p>
    <w:p w14:paraId="1942FD8E">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7.2凡因执行本合同所发生的与本合同有关的一切争议，双方应协商解决；协商不成，按以下第（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）种方式处理：</w:t>
      </w:r>
    </w:p>
    <w:p w14:paraId="0EBB30F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（1）双方同意提请仲裁委员会，请求按照其仲裁规则进行仲裁。仲裁裁决是终局的，对双方均具有法律约束力。</w:t>
      </w:r>
    </w:p>
    <w:p w14:paraId="318FA3F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（2）任何一方依法提请人民法院通过诉讼程序解决。</w:t>
      </w:r>
    </w:p>
    <w:p w14:paraId="018C7D10">
      <w:pPr>
        <w:keepNext w:val="0"/>
        <w:keepLines w:val="0"/>
        <w:pageBreakBefore w:val="0"/>
        <w:widowControl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第八章　合同生效和期限</w:t>
      </w:r>
    </w:p>
    <w:p w14:paraId="5BC448D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8.1本合同的订立、效力、解释、履行和争议的解决均适用中华人民共和国法律。双方未尽事宜，均服从中华人民共和国法律和江苏电力市场交易规则。</w:t>
      </w:r>
    </w:p>
    <w:p w14:paraId="54091A8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8.2本合同经双方法定代表人（或授权代理人）签字并盖章后生效。合同生效后，关于办理本合同在交易中心的备案及其他相关执行手续，双方选择以下约定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（单选）：</w:t>
      </w:r>
    </w:p>
    <w:p w14:paraId="721049E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（1）甲方与乙方共同办理本合同在交易中心的备案及其他相关执行手续，</w:t>
      </w:r>
    </w:p>
    <w:p w14:paraId="2D5C340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方代为办理本合同在交易中心的备案和相关执行手续。</w:t>
      </w:r>
    </w:p>
    <w:p w14:paraId="1E375EB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本合同及其附件构成双方就本合同标的达成的全部内容，取代所有双方在此之前就本合同标的所签订的协议和合同。</w:t>
      </w:r>
    </w:p>
    <w:p w14:paraId="7A2E7AF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8.3任何一方未通过书面形式声明放弃其在本合同项下的任何权利，则不应被视为其弃权。任何一方未行使其在本合同项下的任何权利，均不应被视为对任何上述权利的放弃或对今后任何上述权利的放弃。</w:t>
      </w:r>
    </w:p>
    <w:p w14:paraId="5F3306A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8.4本合同有效期：自签订之日起至4.1条款约定的合同交易最后日期。</w:t>
      </w:r>
    </w:p>
    <w:p w14:paraId="0B1121D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8.5本合同一式</w:t>
      </w:r>
      <w:r>
        <w:rPr>
          <w:rFonts w:hint="eastAsia" w:ascii="宋体" w:hAnsi="宋体" w:eastAsia="宋体" w:cs="宋体"/>
          <w:color w:val="auto"/>
          <w:sz w:val="24"/>
          <w:highlight w:val="none"/>
          <w:u w:val="single"/>
          <w:lang w:val="en-US" w:eastAsia="zh-CN"/>
        </w:rPr>
        <w:t>2</w:t>
      </w:r>
      <w:r>
        <w:rPr>
          <w:rFonts w:hint="eastAsia" w:ascii="宋体" w:hAnsi="宋体" w:eastAsia="宋体" w:cs="宋体"/>
          <w:color w:val="auto"/>
          <w:sz w:val="24"/>
          <w:highlight w:val="none"/>
        </w:rPr>
        <w:t>份，甲方、乙方各执</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rPr>
        <w:t>份，</w:t>
      </w:r>
      <w:r>
        <w:rPr>
          <w:rFonts w:hint="eastAsia" w:ascii="宋体" w:hAnsi="宋体" w:eastAsia="宋体" w:cs="宋体"/>
          <w:color w:val="auto"/>
          <w:sz w:val="24"/>
          <w:highlight w:val="none"/>
          <w:lang w:val="en-US" w:eastAsia="zh-CN"/>
        </w:rPr>
        <w:t>副本若干份，分送有关机构</w:t>
      </w:r>
      <w:r>
        <w:rPr>
          <w:rFonts w:hint="eastAsia" w:ascii="宋体" w:hAnsi="宋体" w:eastAsia="宋体" w:cs="宋体"/>
          <w:color w:val="auto"/>
          <w:sz w:val="24"/>
          <w:highlight w:val="none"/>
        </w:rPr>
        <w:t>。</w:t>
      </w:r>
    </w:p>
    <w:p w14:paraId="4D90BC3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2E62CB17">
      <w:pPr>
        <w:keepNext w:val="0"/>
        <w:keepLines w:val="0"/>
        <w:pageBreakBefore w:val="0"/>
        <w:widowControl w:val="0"/>
        <w:spacing w:line="360" w:lineRule="auto"/>
        <w:ind w:firstLine="48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甲方（盖章）：</w:t>
      </w:r>
      <w:r>
        <w:rPr>
          <w:rFonts w:hint="eastAsia" w:ascii="宋体" w:hAnsi="宋体" w:eastAsia="宋体" w:cs="宋体"/>
          <w:color w:val="auto"/>
          <w:sz w:val="24"/>
          <w:highlight w:val="none"/>
          <w:u w:val="single"/>
          <w:lang w:val="en-US" w:eastAsia="zh-CN"/>
        </w:rPr>
        <w:t xml:space="preserve">                             </w:t>
      </w:r>
    </w:p>
    <w:p w14:paraId="46BA3389">
      <w:pPr>
        <w:keepNext w:val="0"/>
        <w:keepLines w:val="0"/>
        <w:pageBreakBefore w:val="0"/>
        <w:widowControl w:val="0"/>
        <w:spacing w:line="360" w:lineRule="auto"/>
        <w:ind w:firstLine="48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法定代表人/授权代理人：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p>
    <w:p w14:paraId="6A473FB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日</w:t>
      </w:r>
    </w:p>
    <w:p w14:paraId="6FC5A400">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0B2A41F2">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555F363C">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00DF5B95">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乙方（盖章）：</w:t>
      </w:r>
    </w:p>
    <w:p w14:paraId="393BC82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法定代表人/授权代理人：</w:t>
      </w:r>
    </w:p>
    <w:p w14:paraId="439BF027">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none"/>
        </w:rPr>
        <w:t>______</w:t>
      </w:r>
      <w:r>
        <w:rPr>
          <w:rFonts w:hint="eastAsia" w:ascii="宋体" w:hAnsi="宋体" w:eastAsia="宋体" w:cs="宋体"/>
          <w:color w:val="auto"/>
          <w:sz w:val="24"/>
          <w:highlight w:val="none"/>
        </w:rPr>
        <w:t>日</w:t>
      </w:r>
    </w:p>
    <w:p w14:paraId="40386537">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001E8009">
      <w:pPr>
        <w:keepNext w:val="0"/>
        <w:keepLines w:val="0"/>
        <w:pageBreakBefore w:val="0"/>
        <w:widowControl w:val="0"/>
        <w:spacing w:line="360" w:lineRule="auto"/>
        <w:ind w:firstLine="480"/>
        <w:rPr>
          <w:rFonts w:hint="eastAsia" w:ascii="宋体" w:hAnsi="宋体" w:eastAsia="宋体" w:cs="宋体"/>
          <w:color w:val="auto"/>
          <w:sz w:val="24"/>
          <w:highlight w:val="none"/>
        </w:rPr>
      </w:pPr>
    </w:p>
    <w:p w14:paraId="48BEEBD7">
      <w:pPr>
        <w:keepNext w:val="0"/>
        <w:keepLines w:val="0"/>
        <w:pageBreakBefore w:val="0"/>
        <w:widowControl w:val="0"/>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签订地点：</w:t>
      </w:r>
    </w:p>
    <w:p w14:paraId="5BE94793">
      <w:pPr>
        <w:keepNext w:val="0"/>
        <w:keepLines w:val="0"/>
        <w:pageBreakBefore w:val="0"/>
        <w:widowControl w:val="0"/>
        <w:spacing w:line="360" w:lineRule="auto"/>
        <w:ind w:firstLine="480"/>
        <w:rPr>
          <w:rFonts w:hint="eastAsia" w:ascii="宋体" w:hAnsi="宋体" w:eastAsia="宋体" w:cs="宋体"/>
          <w:b w:val="0"/>
          <w:bCs w:val="0"/>
          <w:color w:val="auto"/>
          <w:sz w:val="24"/>
          <w:highlight w:val="none"/>
          <w:lang w:val="en-US" w:eastAsia="zh-CN"/>
        </w:rPr>
      </w:pPr>
    </w:p>
    <w:p w14:paraId="09B293B3">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附件1：甲方户号详情列表</w:t>
      </w:r>
    </w:p>
    <w:tbl>
      <w:tblPr>
        <w:tblStyle w:val="33"/>
        <w:tblpPr w:leftFromText="180" w:rightFromText="180" w:vertAnchor="text" w:horzAnchor="page" w:tblpX="1791" w:tblpY="4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6701"/>
      </w:tblGrid>
      <w:tr w14:paraId="61906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noWrap w:val="0"/>
            <w:vAlign w:val="center"/>
          </w:tcPr>
          <w:p w14:paraId="088286E7">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户号</w:t>
            </w:r>
          </w:p>
        </w:tc>
        <w:tc>
          <w:tcPr>
            <w:tcW w:w="6701" w:type="dxa"/>
            <w:noWrap w:val="0"/>
            <w:vAlign w:val="center"/>
          </w:tcPr>
          <w:p w14:paraId="0CF315FB">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用电地址</w:t>
            </w:r>
          </w:p>
        </w:tc>
      </w:tr>
      <w:tr w14:paraId="6484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noWrap w:val="0"/>
            <w:vAlign w:val="center"/>
          </w:tcPr>
          <w:p w14:paraId="0582A4EF">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6701" w:type="dxa"/>
            <w:noWrap w:val="0"/>
            <w:vAlign w:val="center"/>
          </w:tcPr>
          <w:p w14:paraId="27FF44FD">
            <w:pPr>
              <w:keepNext w:val="0"/>
              <w:keepLines w:val="0"/>
              <w:pageBreakBefore w:val="0"/>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bl>
    <w:p w14:paraId="2FB93052">
      <w:pPr>
        <w:keepNext w:val="0"/>
        <w:keepLines w:val="0"/>
        <w:pageBreakBefore w:val="0"/>
        <w:widowControl w:val="0"/>
        <w:spacing w:line="360" w:lineRule="auto"/>
        <w:rPr>
          <w:rFonts w:hint="eastAsia" w:ascii="宋体" w:hAnsi="宋体" w:eastAsia="宋体" w:cs="宋体"/>
          <w:b w:val="0"/>
          <w:bCs w:val="0"/>
          <w:color w:val="auto"/>
          <w:sz w:val="24"/>
          <w:highlight w:val="none"/>
          <w:lang w:val="en-US" w:eastAsia="zh-CN"/>
        </w:rPr>
      </w:pPr>
    </w:p>
    <w:p w14:paraId="7C3B6C7F">
      <w:pPr>
        <w:spacing w:line="360" w:lineRule="auto"/>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    </w:t>
      </w:r>
    </w:p>
    <w:p w14:paraId="51F47D47">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p>
    <w:p w14:paraId="4384F19B">
      <w:pPr>
        <w:pStyle w:val="27"/>
        <w:spacing w:before="120" w:beforeAutospacing="0" w:after="120" w:afterAutospacing="0" w:line="0" w:lineRule="atLeast"/>
        <w:ind w:firstLine="22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第四章 采购需求</w:t>
      </w:r>
    </w:p>
    <w:p w14:paraId="44DF4E58">
      <w:pPr>
        <w:keepNext w:val="0"/>
        <w:keepLines w:val="0"/>
        <w:pageBreakBefore w:val="0"/>
        <w:widowControl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项目属性：服务类项目</w:t>
      </w:r>
    </w:p>
    <w:p w14:paraId="59C970ED">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一、项目概述</w:t>
      </w:r>
    </w:p>
    <w:p w14:paraId="003D5BC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本次项目为</w:t>
      </w:r>
      <w:r>
        <w:rPr>
          <w:rFonts w:hint="eastAsia" w:ascii="宋体" w:hAnsi="宋体" w:eastAsia="宋体" w:cs="宋体"/>
          <w:color w:val="auto"/>
          <w:sz w:val="24"/>
          <w:highlight w:val="none"/>
          <w:lang w:eastAsia="zh-CN"/>
        </w:rPr>
        <w:t>盐城市路灯管理处2026年度购电项目</w:t>
      </w:r>
      <w:r>
        <w:rPr>
          <w:rFonts w:hint="eastAsia" w:ascii="宋体" w:hAnsi="宋体" w:eastAsia="宋体" w:cs="宋体"/>
          <w:color w:val="auto"/>
          <w:sz w:val="24"/>
          <w:highlight w:val="none"/>
        </w:rPr>
        <w:t>。供应商应根据采购文件所提出的业务内容要求，提供最优的购售电项目方案。</w:t>
      </w:r>
    </w:p>
    <w:p w14:paraId="11E92E5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二、服务清单与业务要求</w:t>
      </w:r>
    </w:p>
    <w:p w14:paraId="0B5E1A56">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（一）服务清单</w:t>
      </w:r>
    </w:p>
    <w:tbl>
      <w:tblPr>
        <w:tblStyle w:val="32"/>
        <w:tblW w:w="7850"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4257"/>
        <w:gridCol w:w="1559"/>
        <w:gridCol w:w="1307"/>
        <w:gridCol w:w="7"/>
      </w:tblGrid>
      <w:tr w14:paraId="23EE9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07" w:hRule="atLeast"/>
        </w:trPr>
        <w:tc>
          <w:tcPr>
            <w:tcW w:w="720" w:type="dxa"/>
            <w:noWrap w:val="0"/>
          </w:tcPr>
          <w:p w14:paraId="54F2165D">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257" w:type="dxa"/>
            <w:noWrap w:val="0"/>
          </w:tcPr>
          <w:p w14:paraId="06226FF1">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559" w:type="dxa"/>
            <w:noWrap w:val="0"/>
          </w:tcPr>
          <w:p w14:paraId="0A908D40">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307" w:type="dxa"/>
            <w:noWrap w:val="0"/>
          </w:tcPr>
          <w:p w14:paraId="5F64DC24">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r>
      <w:tr w14:paraId="03F16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09" w:hRule="atLeast"/>
        </w:trPr>
        <w:tc>
          <w:tcPr>
            <w:tcW w:w="720" w:type="dxa"/>
            <w:noWrap w:val="0"/>
          </w:tcPr>
          <w:p w14:paraId="5A0236DE">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257" w:type="dxa"/>
            <w:noWrap w:val="0"/>
          </w:tcPr>
          <w:p w14:paraId="6B8D399F">
            <w:pPr>
              <w:keepNext w:val="0"/>
              <w:keepLines w:val="0"/>
              <w:pageBreakBefore w:val="0"/>
              <w:widowControl w:val="0"/>
              <w:spacing w:before="169"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盐城市路灯管理处2026年度购电项目</w:t>
            </w:r>
          </w:p>
        </w:tc>
        <w:tc>
          <w:tcPr>
            <w:tcW w:w="1559" w:type="dxa"/>
            <w:noWrap w:val="0"/>
          </w:tcPr>
          <w:p w14:paraId="3FD3E375">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Kwh</w:t>
            </w:r>
          </w:p>
        </w:tc>
        <w:tc>
          <w:tcPr>
            <w:tcW w:w="1307" w:type="dxa"/>
            <w:noWrap w:val="0"/>
          </w:tcPr>
          <w:p w14:paraId="37823CF9">
            <w:pPr>
              <w:keepNext w:val="0"/>
              <w:keepLines w:val="0"/>
              <w:pageBreakBefore w:val="0"/>
              <w:widowControl w:val="0"/>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约</w:t>
            </w:r>
            <w:r>
              <w:rPr>
                <w:rFonts w:hint="eastAsia" w:ascii="宋体" w:hAnsi="宋体" w:eastAsia="宋体" w:cs="宋体"/>
                <w:color w:val="auto"/>
                <w:sz w:val="24"/>
                <w:highlight w:val="none"/>
                <w:lang w:val="en-US" w:eastAsia="zh-CN"/>
              </w:rPr>
              <w:t>3488</w:t>
            </w:r>
            <w:r>
              <w:rPr>
                <w:rFonts w:hint="eastAsia" w:ascii="宋体" w:hAnsi="宋体" w:eastAsia="宋体" w:cs="宋体"/>
                <w:color w:val="auto"/>
                <w:sz w:val="24"/>
                <w:highlight w:val="none"/>
              </w:rPr>
              <w:t>万</w:t>
            </w:r>
          </w:p>
        </w:tc>
      </w:tr>
      <w:tr w14:paraId="3D213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7850" w:type="dxa"/>
            <w:gridSpan w:val="5"/>
            <w:noWrap w:val="0"/>
          </w:tcPr>
          <w:p w14:paraId="040BB194">
            <w:pPr>
              <w:keepNext w:val="0"/>
              <w:keepLines w:val="0"/>
              <w:pageBreakBefore w:val="0"/>
              <w:widowControl w:val="0"/>
              <w:spacing w:before="169"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以上电量为参考电量，最终电量数据以实际发生额为准。</w:t>
            </w:r>
          </w:p>
        </w:tc>
      </w:tr>
    </w:tbl>
    <w:p w14:paraId="3E0F6621">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（二）项目范围及要求</w:t>
      </w:r>
    </w:p>
    <w:p w14:paraId="72DDC2E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1、为采购人提供交易周期内优惠电价，生产经营所需全部用电的购售电代理交易。供应商应按国家有关法规、规定和技术规范，提供全周期电力交易服务和用电增值服务。</w:t>
      </w:r>
    </w:p>
    <w:p w14:paraId="5B21A17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2、交易周期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合同履行期限</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年1月1日至202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年12月31日。</w:t>
      </w:r>
    </w:p>
    <w:p w14:paraId="3609D06A">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3、服务内容：</w:t>
      </w:r>
    </w:p>
    <w:p w14:paraId="4C3A41E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3.4.1按照国家有关法规、规定和技术规范，为甲方提供电力交易和参与江苏电力辅助服务市场相关服务，参与电力市场交易并按规定结算。</w:t>
      </w:r>
    </w:p>
    <w:p w14:paraId="28D29AD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3.4.2按照国家规定，作为可再生能源电力的消纳责任主体，承担可再生能源电力的消纳责任。</w:t>
      </w:r>
    </w:p>
    <w:p w14:paraId="42D90B5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3.4.3按照电力市场信息发布管理规定，向甲方、交易中心提供真实准确的有关电力直接交易的相关信息及资料；</w:t>
      </w:r>
    </w:p>
    <w:p w14:paraId="241FABA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根据国家有关法规支付电力交易相关费用；</w:t>
      </w:r>
    </w:p>
    <w:p w14:paraId="763285A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协助甲方申请办理电力交易有关手续；</w:t>
      </w:r>
    </w:p>
    <w:p w14:paraId="4C1B4B1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按照相关规则、规定向交易中心提交银行履约保函，担保合同的履约。</w:t>
      </w:r>
    </w:p>
    <w:p w14:paraId="1A23872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发生紧急情况时，按照相关规定执行。</w:t>
      </w:r>
    </w:p>
    <w:p w14:paraId="6E7C79C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4、交易模式：</w:t>
      </w:r>
    </w:p>
    <w:p w14:paraId="0E0F8769">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4.1供应商在成交后，与采购人签订购售电合同，以批发市场长协交易均价为基准，明确全年统一售电优惠差价，</w:t>
      </w:r>
      <w:r>
        <w:rPr>
          <w:rFonts w:hint="eastAsia" w:ascii="宋体" w:hAnsi="宋体" w:eastAsia="宋体" w:cs="宋体"/>
          <w:strike w:val="0"/>
          <w:color w:val="auto"/>
          <w:sz w:val="24"/>
          <w:highlight w:val="none"/>
        </w:rPr>
        <w:t>并</w:t>
      </w:r>
      <w:r>
        <w:rPr>
          <w:rFonts w:hint="eastAsia" w:ascii="宋体" w:hAnsi="宋体" w:eastAsia="宋体" w:cs="宋体"/>
          <w:color w:val="auto"/>
          <w:sz w:val="24"/>
          <w:highlight w:val="none"/>
        </w:rPr>
        <w:t>在年度执行过程中不予调整。</w:t>
      </w:r>
    </w:p>
    <w:p w14:paraId="3183CDD8">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4.2中标人代采购人参与全年的双边协商和集中竞价等电力市场交易，采购人将提供必要的配合。</w:t>
      </w:r>
    </w:p>
    <w:p w14:paraId="60E8334B">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4.3中标人必须承担电量偏差引起的一切费用风险。</w:t>
      </w:r>
    </w:p>
    <w:p w14:paraId="7E2DC93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4.4以江苏省物价局发行的同期目录电价为基准。</w:t>
      </w:r>
    </w:p>
    <w:p w14:paraId="382456C0">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5、电能计量：</w:t>
      </w:r>
    </w:p>
    <w:p w14:paraId="53FD243F">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5.1电力交易涉及的电量计量点、电能计量装置要求、电能计量装置校验要求和计量装置异常处理办法等，需在合同约定中执行。</w:t>
      </w:r>
    </w:p>
    <w:p w14:paraId="42C5220E">
      <w:pPr>
        <w:pStyle w:val="27"/>
        <w:keepNext w:val="0"/>
        <w:keepLines w:val="0"/>
        <w:pageBreakBefore w:val="0"/>
        <w:widowControl w:val="0"/>
        <w:spacing w:beforeAutospacing="0" w:afterAutospacing="0" w:line="360" w:lineRule="auto"/>
        <w:ind w:firstLine="480"/>
        <w:jc w:val="both"/>
        <w:rPr>
          <w:rFonts w:hint="eastAsia" w:ascii="宋体" w:hAnsi="宋体" w:eastAsia="宋体" w:cs="宋体"/>
          <w:color w:val="auto"/>
          <w:sz w:val="44"/>
          <w:szCs w:val="44"/>
          <w:highlight w:val="none"/>
        </w:rPr>
      </w:pPr>
      <w:r>
        <w:rPr>
          <w:rFonts w:hint="eastAsia" w:ascii="宋体" w:hAnsi="宋体" w:eastAsia="宋体" w:cs="宋体"/>
          <w:color w:val="auto"/>
          <w:highlight w:val="none"/>
        </w:rPr>
        <w:t>5.2电力交易结算电量以比选人计量点关口表计量的电量为结算依据。</w:t>
      </w:r>
    </w:p>
    <w:p w14:paraId="26D41023">
      <w:pPr>
        <w:pStyle w:val="27"/>
        <w:keepNext w:val="0"/>
        <w:keepLines w:val="0"/>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、采购标的对应的中小企业划分标准所属行业一览表</w:t>
      </w:r>
    </w:p>
    <w:tbl>
      <w:tblPr>
        <w:tblStyle w:val="32"/>
        <w:tblW w:w="7969" w:type="dxa"/>
        <w:jc w:val="center"/>
        <w:tblCellSpacing w:w="0" w:type="dxa"/>
        <w:tblLayout w:type="fixed"/>
        <w:tblCellMar>
          <w:top w:w="0" w:type="dxa"/>
          <w:left w:w="108" w:type="dxa"/>
          <w:bottom w:w="0" w:type="dxa"/>
          <w:right w:w="108" w:type="dxa"/>
        </w:tblCellMar>
      </w:tblPr>
      <w:tblGrid>
        <w:gridCol w:w="794"/>
        <w:gridCol w:w="3543"/>
        <w:gridCol w:w="3632"/>
      </w:tblGrid>
      <w:tr w14:paraId="103A515F">
        <w:tblPrEx>
          <w:tblCellMar>
            <w:top w:w="0" w:type="dxa"/>
            <w:left w:w="108" w:type="dxa"/>
            <w:bottom w:w="0" w:type="dxa"/>
            <w:right w:w="108" w:type="dxa"/>
          </w:tblCellMar>
        </w:tblPrEx>
        <w:trPr>
          <w:tblCellSpacing w:w="0" w:type="dxa"/>
          <w:jc w:val="center"/>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616E0">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8C2C69">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36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60A9D">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10B88E94">
        <w:tblPrEx>
          <w:tblCellMar>
            <w:top w:w="0" w:type="dxa"/>
            <w:left w:w="108" w:type="dxa"/>
            <w:bottom w:w="0" w:type="dxa"/>
            <w:right w:w="108" w:type="dxa"/>
          </w:tblCellMar>
        </w:tblPrEx>
        <w:trPr>
          <w:trHeight w:val="291" w:hRule="atLeast"/>
          <w:tblCellSpacing w:w="0" w:type="dxa"/>
          <w:jc w:val="center"/>
        </w:trPr>
        <w:tc>
          <w:tcPr>
            <w:tcW w:w="79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15CB8">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384EB">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盐城市路灯管理处202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年度购电项目</w:t>
            </w:r>
          </w:p>
        </w:tc>
        <w:tc>
          <w:tcPr>
            <w:tcW w:w="363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17D7C">
            <w:pPr>
              <w:pStyle w:val="27"/>
              <w:keepNext w:val="0"/>
              <w:keepLines w:val="0"/>
              <w:pageBreakBefore w:val="0"/>
              <w:widowControl w:val="0"/>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工业 </w:t>
            </w:r>
          </w:p>
        </w:tc>
      </w:tr>
    </w:tbl>
    <w:p w14:paraId="4A281D3F">
      <w:pPr>
        <w:keepNext w:val="0"/>
        <w:keepLines w:val="0"/>
        <w:pageBreakBefore w:val="0"/>
        <w:widowControl w:val="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p w14:paraId="2F94F506">
      <w:pPr>
        <w:pStyle w:val="27"/>
        <w:keepNext/>
        <w:keepLines w:val="0"/>
        <w:pageBreakBefore w:val="0"/>
        <w:widowControl w:val="0"/>
        <w:spacing w:beforeAutospacing="0" w:afterAutospacing="0" w:line="360" w:lineRule="auto"/>
        <w:ind w:firstLine="22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第五章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b/>
          <w:color w:val="auto"/>
          <w:sz w:val="44"/>
          <w:szCs w:val="44"/>
          <w:highlight w:val="none"/>
        </w:rPr>
        <w:t>评标方法与评标标准</w:t>
      </w:r>
    </w:p>
    <w:p w14:paraId="515447C3">
      <w:pPr>
        <w:keepNext w:val="0"/>
        <w:keepLines w:val="0"/>
        <w:pageBreakBefore w:val="0"/>
        <w:widowControl w:val="0"/>
        <w:spacing w:line="360" w:lineRule="auto"/>
        <w:ind w:firstLine="422"/>
        <w:rPr>
          <w:rFonts w:hint="eastAsia" w:ascii="宋体" w:hAnsi="宋体" w:eastAsia="宋体" w:cs="宋体"/>
          <w:b/>
          <w:bCs/>
          <w:sz w:val="24"/>
          <w:szCs w:val="24"/>
          <w:highlight w:val="none"/>
          <w:lang w:val="en-US" w:eastAsia="zh-CN"/>
        </w:rPr>
      </w:pPr>
      <w:r>
        <w:rPr>
          <w:rFonts w:hint="eastAsia" w:ascii="宋体" w:hAnsi="宋体" w:eastAsia="宋体" w:cs="宋体"/>
          <w:b/>
          <w:bCs/>
          <w:color w:val="auto"/>
          <w:highlight w:val="none"/>
        </w:rPr>
        <w:t> </w:t>
      </w:r>
      <w:bookmarkStart w:id="150" w:name="_Hlk149904248"/>
      <w:r>
        <w:rPr>
          <w:rFonts w:hint="eastAsia" w:ascii="宋体" w:hAnsi="宋体" w:eastAsia="宋体" w:cs="宋体"/>
          <w:b/>
          <w:bCs/>
          <w:sz w:val="24"/>
          <w:szCs w:val="24"/>
          <w:highlight w:val="none"/>
        </w:rPr>
        <w:t>一、</w:t>
      </w:r>
      <w:r>
        <w:rPr>
          <w:rFonts w:hint="eastAsia" w:ascii="宋体" w:hAnsi="宋体" w:eastAsia="宋体" w:cs="宋体"/>
          <w:b/>
          <w:bCs/>
          <w:sz w:val="24"/>
          <w:szCs w:val="24"/>
          <w:highlight w:val="none"/>
          <w:lang w:val="en-US" w:eastAsia="zh-CN"/>
        </w:rPr>
        <w:t>定标原则</w:t>
      </w:r>
    </w:p>
    <w:p w14:paraId="350C700D">
      <w:pPr>
        <w:keepNext w:val="0"/>
        <w:keepLines w:val="0"/>
        <w:pageBreakBefore w:val="0"/>
        <w:widowControl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本次评审采用最低评标价法：是指在投标文件能够满足招标文件全部实质性要求的投标人中，评审出优惠报价（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）最高的为第一中标候选人，采购人确认为中标单位。如两家或两家以上投标单位的有效报价（优惠报价（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））相同且都为最高优惠报价（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），则由采购人代表现场对上述单位进行随机抽签,抽到的投标人即确定为中标单位。</w:t>
      </w:r>
    </w:p>
    <w:p w14:paraId="6CAF06B5">
      <w:pPr>
        <w:keepNext w:val="0"/>
        <w:keepLines w:val="0"/>
        <w:pageBreakBefore w:val="0"/>
        <w:widowControl w:val="0"/>
        <w:spacing w:line="360" w:lineRule="auto"/>
        <w:ind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二、报价说明</w:t>
      </w:r>
    </w:p>
    <w:p w14:paraId="710FEA40">
      <w:pPr>
        <w:keepNext w:val="0"/>
        <w:keepLines w:val="0"/>
        <w:pageBreakBefore w:val="0"/>
        <w:widowControl w:val="0"/>
        <w:spacing w:line="360" w:lineRule="auto"/>
        <w:ind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因软件系统模块设置原因，开标一览表中优惠率视为优惠报价，优惠率</w:t>
      </w:r>
      <w:r>
        <w:rPr>
          <w:rFonts w:hint="eastAsia" w:ascii="宋体" w:hAnsi="宋体" w:eastAsia="宋体" w:cs="宋体"/>
          <w:b/>
          <w:bCs/>
          <w:sz w:val="24"/>
          <w:szCs w:val="24"/>
          <w:highlight w:val="none"/>
        </w:rPr>
        <w:t>精确到小数点后两位。</w:t>
      </w:r>
      <w:r>
        <w:rPr>
          <w:rFonts w:hint="eastAsia" w:ascii="宋体" w:hAnsi="宋体" w:eastAsia="宋体" w:cs="宋体"/>
          <w:b/>
          <w:bCs/>
          <w:sz w:val="24"/>
          <w:szCs w:val="24"/>
          <w:highlight w:val="none"/>
          <w:lang w:val="en-US" w:eastAsia="zh-CN"/>
        </w:rPr>
        <w:t>例如优惠率=0.55%，则视为优惠报价=0.0055元/Kwh</w:t>
      </w:r>
      <w:r>
        <w:rPr>
          <w:rFonts w:hint="eastAsia" w:ascii="宋体" w:hAnsi="宋体" w:eastAsia="宋体" w:cs="宋体"/>
          <w:b/>
          <w:bCs/>
          <w:sz w:val="24"/>
          <w:szCs w:val="24"/>
          <w:highlight w:val="none"/>
          <w:lang w:eastAsia="zh-CN"/>
        </w:rPr>
        <w:t>。</w:t>
      </w:r>
    </w:p>
    <w:p w14:paraId="5D8E0265">
      <w:pPr>
        <w:keepNext w:val="0"/>
        <w:keepLines w:val="0"/>
        <w:pageBreakBefore w:val="0"/>
        <w:widowControl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结算：</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年度长协交易均价</w:t>
      </w:r>
      <w:r>
        <w:rPr>
          <w:rFonts w:hint="eastAsia" w:ascii="宋体" w:hAnsi="宋体" w:eastAsia="宋体" w:cs="宋体"/>
          <w:b/>
          <w:bCs/>
          <w:sz w:val="24"/>
          <w:szCs w:val="24"/>
          <w:highlight w:val="none"/>
          <w:lang w:val="en-US" w:eastAsia="zh-CN"/>
        </w:rPr>
        <w:t>减去优惠报价</w:t>
      </w:r>
      <w:r>
        <w:rPr>
          <w:rFonts w:hint="eastAsia" w:ascii="宋体" w:hAnsi="宋体" w:eastAsia="宋体" w:cs="宋体"/>
          <w:b/>
          <w:bCs/>
          <w:sz w:val="24"/>
          <w:szCs w:val="24"/>
          <w:highlight w:val="none"/>
        </w:rPr>
        <w:t>。</w:t>
      </w:r>
    </w:p>
    <w:p w14:paraId="7C83EA93">
      <w:pPr>
        <w:keepNext w:val="0"/>
        <w:keepLines w:val="0"/>
        <w:pageBreakBefore w:val="0"/>
        <w:widowControl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、政府采购政策功能落实</w:t>
      </w:r>
      <w:bookmarkEnd w:id="150"/>
    </w:p>
    <w:p w14:paraId="43D9CC6D">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1、小微型企业价格扣除</w:t>
      </w:r>
    </w:p>
    <w:p w14:paraId="24DB1ED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（1）本项目不专门面向中小企业采购，对符合规定的小型和微型企业报价给予20%的扣除价格，用扣除后的价格参与评审。</w:t>
      </w:r>
    </w:p>
    <w:p w14:paraId="29423D76">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（2）供应商需按照采购文件的要求提供相应的《小微企业声明函》。</w:t>
      </w:r>
    </w:p>
    <w:p w14:paraId="65CDC062">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（3）企业标准请参照《关于印发中小企业划型标准规定的通知》（工信部联企业[2011]300号）文件规定自行填写。</w:t>
      </w:r>
    </w:p>
    <w:p w14:paraId="253FA53F">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2、残疾人福利单位价格扣除</w:t>
      </w:r>
    </w:p>
    <w:p w14:paraId="0B2DC73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（1）本项目不专门面向中小企业采购，对符合规定的小型和微型企业报价给予20%的扣除价格，用扣除后的价格参与评审。</w:t>
      </w:r>
    </w:p>
    <w:p w14:paraId="3DA9D08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（2）残疾人福利单位需按照采购文件的要求提供《残疾人福利性单位声明函》。</w:t>
      </w:r>
    </w:p>
    <w:p w14:paraId="05419E51">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（3）残疾人福利单位标准请参照《关于促进残疾人就业政府采购政策的通知》（财库〔2017〕141号）。</w:t>
      </w:r>
    </w:p>
    <w:p w14:paraId="31C9F616">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3、监狱和戒毒企业价格扣除</w:t>
      </w:r>
    </w:p>
    <w:p w14:paraId="5D72B59D">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（1）本项目对监狱和戒毒企业（简称监狱企业）视同小型、微型企业，给予20%的价格扣除。</w:t>
      </w:r>
    </w:p>
    <w:p w14:paraId="2DF1D08D">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15D427B3">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（3）监狱企业标准请参照《关于政府采购支持监狱企业发展有关问题的通知》（财库[2014]68号）。</w:t>
      </w:r>
    </w:p>
    <w:p w14:paraId="7B639E6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4、残疾人福利单位、监狱企业属于小型、微型企业的，不重复享受政策。</w:t>
      </w:r>
    </w:p>
    <w:p w14:paraId="6D71FDBC">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3613530">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6、联合体各方均为小型、微型企业（残疾人福利单位、监狱企业）的，联合体享受20%的价格扣除。</w:t>
      </w:r>
    </w:p>
    <w:p w14:paraId="19FA635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9CF2516">
      <w:pPr>
        <w:keepNext w:val="0"/>
        <w:keepLines w:val="0"/>
        <w:pageBreakBefore w:val="0"/>
        <w:widowControl w:val="0"/>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评标标准</w:t>
      </w:r>
    </w:p>
    <w:p w14:paraId="7435EE13">
      <w:pPr>
        <w:keepNext w:val="0"/>
        <w:keepLines w:val="0"/>
        <w:pageBreakBefore w:val="0"/>
        <w:widowControl w:val="0"/>
        <w:spacing w:line="360" w:lineRule="auto"/>
        <w:ind w:firstLine="482"/>
        <w:rPr>
          <w:rFonts w:hint="eastAsia" w:ascii="宋体" w:hAnsi="宋体"/>
          <w:color w:val="auto"/>
          <w:sz w:val="24"/>
          <w:highlight w:val="none"/>
        </w:rPr>
      </w:pPr>
      <w:r>
        <w:rPr>
          <w:rFonts w:hint="eastAsia" w:ascii="宋体" w:hAnsi="宋体" w:eastAsia="宋体" w:cs="宋体"/>
          <w:b/>
          <w:bCs/>
          <w:sz w:val="24"/>
          <w:szCs w:val="24"/>
          <w:highlight w:val="none"/>
        </w:rPr>
        <w:t>本次评审采用最低评标价法：是指在投标文件能够满足招标文件全部实质性要求的投标人中，评审出优惠报价（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）最高的为第一中标候选人，采购人确认为中标单位。如两家或两家以上投标单位的有效报价（优惠报价（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））相同且都为最高优惠报价（</w:t>
      </w:r>
      <w:r>
        <w:rPr>
          <w:rFonts w:hint="eastAsia" w:ascii="宋体" w:hAnsi="宋体" w:eastAsia="宋体" w:cs="宋体"/>
          <w:b/>
          <w:bCs/>
          <w:sz w:val="24"/>
          <w:szCs w:val="24"/>
          <w:highlight w:val="none"/>
          <w:lang w:val="en-US" w:eastAsia="zh-CN"/>
        </w:rPr>
        <w:t>优惠率</w:t>
      </w:r>
      <w:r>
        <w:rPr>
          <w:rFonts w:hint="eastAsia" w:ascii="宋体" w:hAnsi="宋体" w:eastAsia="宋体" w:cs="宋体"/>
          <w:b/>
          <w:bCs/>
          <w:sz w:val="24"/>
          <w:szCs w:val="24"/>
          <w:highlight w:val="none"/>
        </w:rPr>
        <w:t>），则由采购人代表现场对上述单位进行随机抽签,抽到的投标人即确定为中标单位。</w:t>
      </w:r>
    </w:p>
    <w:p w14:paraId="7F4B437F">
      <w:pPr>
        <w:pStyle w:val="27"/>
        <w:keepNext/>
        <w:spacing w:beforeAutospacing="0" w:afterAutospacing="0"/>
        <w:ind w:firstLine="220"/>
        <w:jc w:val="center"/>
        <w:rPr>
          <w:rFonts w:hint="eastAsia" w:ascii="宋体" w:hAnsi="宋体"/>
          <w:color w:val="auto"/>
          <w:sz w:val="24"/>
          <w:highlight w:val="none"/>
        </w:rPr>
      </w:pPr>
    </w:p>
    <w:p w14:paraId="11679146">
      <w:pPr>
        <w:rPr>
          <w:rFonts w:hint="eastAsia" w:ascii="宋体" w:hAnsi="宋体"/>
          <w:color w:val="auto"/>
          <w:sz w:val="24"/>
          <w:highlight w:val="none"/>
        </w:rPr>
      </w:pPr>
      <w:r>
        <w:rPr>
          <w:rFonts w:hint="eastAsia" w:ascii="宋体" w:hAnsi="宋体"/>
          <w:color w:val="auto"/>
          <w:sz w:val="24"/>
          <w:highlight w:val="none"/>
        </w:rPr>
        <w:br w:type="page" w:clear="all"/>
      </w:r>
    </w:p>
    <w:p w14:paraId="3B1E0E62">
      <w:pPr>
        <w:pStyle w:val="27"/>
        <w:keepNext/>
        <w:spacing w:beforeAutospacing="0" w:afterAutospacing="0"/>
        <w:ind w:firstLine="22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第六章  投标文件格式 </w:t>
      </w:r>
    </w:p>
    <w:p w14:paraId="685DB213">
      <w:pPr>
        <w:pStyle w:val="27"/>
        <w:spacing w:beforeAutospacing="0" w:afterAutospacing="0"/>
        <w:ind w:firstLine="361"/>
        <w:jc w:val="center"/>
        <w:rPr>
          <w:rFonts w:hint="eastAsia" w:ascii="宋体" w:hAnsi="宋体" w:eastAsia="宋体" w:cs="宋体"/>
          <w:color w:val="auto"/>
          <w:highlight w:val="none"/>
        </w:rPr>
      </w:pPr>
    </w:p>
    <w:p w14:paraId="5CBE6B9B">
      <w:pPr>
        <w:pStyle w:val="27"/>
        <w:spacing w:beforeAutospacing="0" w:afterAutospacing="0"/>
        <w:ind w:firstLine="361"/>
        <w:jc w:val="center"/>
        <w:rPr>
          <w:rFonts w:hint="eastAsia" w:ascii="宋体" w:hAnsi="宋体" w:eastAsia="宋体" w:cs="宋体"/>
          <w:b/>
          <w:bCs/>
          <w:color w:val="auto"/>
          <w:sz w:val="72"/>
          <w:szCs w:val="72"/>
          <w:highlight w:val="none"/>
        </w:rPr>
      </w:pPr>
    </w:p>
    <w:p w14:paraId="5E156031">
      <w:pPr>
        <w:pStyle w:val="27"/>
        <w:spacing w:beforeAutospacing="0" w:afterAutospacing="0"/>
        <w:ind w:firstLine="361"/>
        <w:jc w:val="center"/>
        <w:rPr>
          <w:rFonts w:hint="eastAsia" w:ascii="宋体" w:hAnsi="宋体" w:eastAsia="宋体" w:cs="宋体"/>
          <w:b/>
          <w:bCs/>
          <w:color w:val="auto"/>
          <w:sz w:val="72"/>
          <w:szCs w:val="72"/>
          <w:highlight w:val="none"/>
        </w:rPr>
      </w:pPr>
      <w:bookmarkStart w:id="151" w:name="_Toc120614282"/>
      <w:bookmarkEnd w:id="151"/>
      <w:bookmarkStart w:id="152" w:name="_Toc49090576"/>
      <w:bookmarkEnd w:id="152"/>
      <w:bookmarkStart w:id="153" w:name="_Hlt26955039"/>
      <w:bookmarkStart w:id="154" w:name="_Toc26554094"/>
      <w:bookmarkStart w:id="155" w:name="_Hlt26671244"/>
      <w:r>
        <w:rPr>
          <w:rFonts w:hint="eastAsia" w:ascii="宋体" w:hAnsi="宋体" w:eastAsia="宋体" w:cs="宋体"/>
          <w:b/>
          <w:color w:val="auto"/>
          <w:sz w:val="72"/>
          <w:szCs w:val="72"/>
          <w:highlight w:val="none"/>
        </w:rPr>
        <w:t>投  标  文  件</w:t>
      </w:r>
    </w:p>
    <w:p w14:paraId="45BCF6F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B9B109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6C443B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F93700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CEF59D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2DAAB63">
      <w:pPr>
        <w:pStyle w:val="27"/>
        <w:spacing w:beforeAutospacing="0" w:afterAutospacing="0"/>
        <w:ind w:firstLine="181"/>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项 目 名 称：</w:t>
      </w:r>
      <w:r>
        <w:rPr>
          <w:rFonts w:hint="eastAsia" w:ascii="宋体" w:hAnsi="宋体" w:eastAsia="宋体" w:cs="宋体"/>
          <w:b/>
          <w:color w:val="auto"/>
          <w:sz w:val="36"/>
          <w:szCs w:val="36"/>
          <w:highlight w:val="none"/>
          <w:u w:val="single"/>
        </w:rPr>
        <w:t>                  </w:t>
      </w:r>
    </w:p>
    <w:p w14:paraId="101AAB46">
      <w:pPr>
        <w:pStyle w:val="27"/>
        <w:spacing w:beforeAutospacing="0" w:afterAutospacing="0"/>
        <w:ind w:firstLine="181"/>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项 目 编 号：</w:t>
      </w:r>
      <w:r>
        <w:rPr>
          <w:rFonts w:hint="eastAsia" w:ascii="宋体" w:hAnsi="宋体" w:eastAsia="宋体" w:cs="宋体"/>
          <w:b/>
          <w:color w:val="auto"/>
          <w:sz w:val="36"/>
          <w:szCs w:val="36"/>
          <w:highlight w:val="none"/>
          <w:u w:val="single"/>
        </w:rPr>
        <w:t>                  </w:t>
      </w:r>
    </w:p>
    <w:p w14:paraId="133D6601">
      <w:pPr>
        <w:pStyle w:val="27"/>
        <w:spacing w:beforeAutospacing="0" w:afterAutospacing="0"/>
        <w:ind w:firstLine="181"/>
        <w:jc w:val="both"/>
        <w:rPr>
          <w:rFonts w:hint="default"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（加盖CA电子公章）</w:t>
      </w:r>
    </w:p>
    <w:p w14:paraId="5ECC00F6">
      <w:pPr>
        <w:pStyle w:val="27"/>
        <w:spacing w:beforeAutospacing="0" w:afterAutospacing="0"/>
        <w:ind w:firstLine="181"/>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日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期 ：</w:t>
      </w:r>
      <w:r>
        <w:rPr>
          <w:rFonts w:hint="eastAsia" w:ascii="宋体" w:hAnsi="宋体" w:eastAsia="宋体" w:cs="宋体"/>
          <w:b/>
          <w:color w:val="auto"/>
          <w:sz w:val="36"/>
          <w:szCs w:val="36"/>
          <w:highlight w:val="none"/>
          <w:u w:val="single"/>
        </w:rPr>
        <w:t>                  </w:t>
      </w:r>
    </w:p>
    <w:p w14:paraId="18541E58">
      <w:pPr>
        <w:pStyle w:val="27"/>
        <w:spacing w:beforeAutospacing="0" w:afterAutospacing="0" w:line="0" w:lineRule="atLeast"/>
        <w:jc w:val="center"/>
        <w:rPr>
          <w:rFonts w:hint="eastAsia" w:ascii="宋体" w:hAnsi="宋体" w:eastAsia="宋体" w:cs="宋体"/>
          <w:color w:val="auto"/>
          <w:highlight w:val="none"/>
        </w:rPr>
      </w:pPr>
    </w:p>
    <w:p w14:paraId="6D615D6D">
      <w:pPr>
        <w:pStyle w:val="27"/>
        <w:spacing w:beforeAutospacing="0" w:afterAutospacing="0" w:line="0" w:lineRule="atLeast"/>
        <w:jc w:val="center"/>
        <w:rPr>
          <w:rFonts w:hint="eastAsia" w:ascii="宋体" w:hAnsi="宋体" w:eastAsia="宋体" w:cs="宋体"/>
          <w:color w:val="auto"/>
          <w:highlight w:val="none"/>
        </w:rPr>
      </w:pPr>
    </w:p>
    <w:p w14:paraId="01C5B0AB">
      <w:pPr>
        <w:pStyle w:val="27"/>
        <w:spacing w:beforeAutospacing="0" w:afterAutospacing="0" w:line="0" w:lineRule="atLeast"/>
        <w:jc w:val="center"/>
        <w:rPr>
          <w:rFonts w:hint="eastAsia" w:ascii="宋体" w:hAnsi="宋体" w:eastAsia="宋体" w:cs="宋体"/>
          <w:color w:val="auto"/>
          <w:highlight w:val="none"/>
        </w:rPr>
      </w:pPr>
    </w:p>
    <w:p w14:paraId="77B360B2">
      <w:pPr>
        <w:pStyle w:val="27"/>
        <w:spacing w:beforeAutospacing="0" w:afterAutospacing="0" w:line="0" w:lineRule="atLeast"/>
        <w:jc w:val="center"/>
        <w:rPr>
          <w:rFonts w:hint="eastAsia" w:ascii="宋体" w:hAnsi="宋体" w:eastAsia="宋体" w:cs="宋体"/>
          <w:color w:val="auto"/>
          <w:highlight w:val="none"/>
        </w:rPr>
      </w:pPr>
    </w:p>
    <w:p w14:paraId="16C4D295">
      <w:pPr>
        <w:pStyle w:val="27"/>
        <w:spacing w:beforeAutospacing="0" w:afterAutospacing="0" w:line="0" w:lineRule="atLeast"/>
        <w:jc w:val="center"/>
        <w:rPr>
          <w:rFonts w:hint="eastAsia" w:ascii="宋体" w:hAnsi="宋体" w:eastAsia="宋体" w:cs="宋体"/>
          <w:color w:val="auto"/>
          <w:highlight w:val="none"/>
        </w:rPr>
      </w:pPr>
    </w:p>
    <w:p w14:paraId="1E3BE10C">
      <w:pPr>
        <w:pStyle w:val="27"/>
        <w:spacing w:beforeAutospacing="0" w:afterAutospacing="0" w:line="0" w:lineRule="atLeast"/>
        <w:jc w:val="center"/>
        <w:rPr>
          <w:rFonts w:hint="eastAsia" w:ascii="宋体" w:hAnsi="宋体" w:eastAsia="宋体" w:cs="宋体"/>
          <w:color w:val="auto"/>
          <w:highlight w:val="none"/>
        </w:rPr>
      </w:pPr>
    </w:p>
    <w:p w14:paraId="3EA23C88">
      <w:pPr>
        <w:pStyle w:val="27"/>
        <w:spacing w:beforeAutospacing="0" w:afterAutospacing="0" w:line="0" w:lineRule="atLeast"/>
        <w:jc w:val="center"/>
        <w:rPr>
          <w:rFonts w:hint="eastAsia" w:ascii="宋体" w:hAnsi="宋体" w:eastAsia="宋体" w:cs="宋体"/>
          <w:color w:val="auto"/>
          <w:highlight w:val="none"/>
        </w:rPr>
      </w:pPr>
    </w:p>
    <w:p w14:paraId="6DE13588">
      <w:pPr>
        <w:pStyle w:val="27"/>
        <w:spacing w:beforeAutospacing="0" w:afterAutospacing="0" w:line="0" w:lineRule="atLeast"/>
        <w:jc w:val="center"/>
        <w:rPr>
          <w:rFonts w:hint="eastAsia" w:ascii="宋体" w:hAnsi="宋体" w:eastAsia="宋体" w:cs="宋体"/>
          <w:color w:val="auto"/>
          <w:highlight w:val="none"/>
        </w:rPr>
      </w:pPr>
    </w:p>
    <w:p w14:paraId="60AF031A">
      <w:pPr>
        <w:pStyle w:val="27"/>
        <w:spacing w:beforeAutospacing="0" w:afterAutospacing="0" w:line="0" w:lineRule="atLeast"/>
        <w:jc w:val="center"/>
        <w:rPr>
          <w:rFonts w:hint="eastAsia" w:ascii="宋体" w:hAnsi="宋体" w:eastAsia="宋体" w:cs="宋体"/>
          <w:color w:val="auto"/>
          <w:highlight w:val="none"/>
        </w:rPr>
      </w:pPr>
    </w:p>
    <w:p w14:paraId="0039AE53">
      <w:pPr>
        <w:pStyle w:val="27"/>
        <w:spacing w:beforeAutospacing="0" w:afterAutospacing="0" w:line="0" w:lineRule="atLeast"/>
        <w:jc w:val="center"/>
        <w:rPr>
          <w:rFonts w:hint="eastAsia" w:ascii="宋体" w:hAnsi="宋体" w:eastAsia="宋体" w:cs="宋体"/>
          <w:color w:val="auto"/>
          <w:highlight w:val="none"/>
        </w:rPr>
      </w:pPr>
    </w:p>
    <w:p w14:paraId="4D25429E">
      <w:pPr>
        <w:pStyle w:val="27"/>
        <w:spacing w:beforeAutospacing="0" w:afterAutospacing="0" w:line="0" w:lineRule="atLeast"/>
        <w:jc w:val="center"/>
        <w:rPr>
          <w:rFonts w:hint="eastAsia" w:ascii="宋体" w:hAnsi="宋体" w:eastAsia="宋体" w:cs="宋体"/>
          <w:color w:val="auto"/>
          <w:highlight w:val="none"/>
        </w:rPr>
      </w:pPr>
    </w:p>
    <w:p w14:paraId="5861AFCB">
      <w:pPr>
        <w:pStyle w:val="27"/>
        <w:spacing w:beforeAutospacing="0" w:afterAutospacing="0" w:line="0" w:lineRule="atLeast"/>
        <w:jc w:val="center"/>
        <w:rPr>
          <w:rFonts w:hint="eastAsia" w:ascii="宋体" w:hAnsi="宋体" w:eastAsia="宋体" w:cs="宋体"/>
          <w:color w:val="auto"/>
          <w:highlight w:val="none"/>
        </w:rPr>
      </w:pPr>
    </w:p>
    <w:p w14:paraId="09A1BB9A">
      <w:pPr>
        <w:pStyle w:val="27"/>
        <w:spacing w:beforeAutospacing="0" w:afterAutospacing="0" w:line="0" w:lineRule="atLeast"/>
        <w:jc w:val="center"/>
        <w:rPr>
          <w:rFonts w:hint="eastAsia" w:ascii="宋体" w:hAnsi="宋体" w:eastAsia="宋体" w:cs="宋体"/>
          <w:color w:val="auto"/>
          <w:highlight w:val="none"/>
        </w:rPr>
      </w:pPr>
    </w:p>
    <w:p w14:paraId="39157979">
      <w:pPr>
        <w:pStyle w:val="27"/>
        <w:spacing w:beforeAutospacing="0" w:afterAutospacing="0" w:line="0" w:lineRule="atLeast"/>
        <w:jc w:val="center"/>
        <w:rPr>
          <w:rFonts w:hint="eastAsia" w:ascii="宋体" w:hAnsi="宋体" w:eastAsia="宋体" w:cs="宋体"/>
          <w:color w:val="auto"/>
          <w:highlight w:val="none"/>
        </w:rPr>
      </w:pPr>
    </w:p>
    <w:p w14:paraId="51E6DB5E">
      <w:pPr>
        <w:pStyle w:val="27"/>
        <w:spacing w:beforeAutospacing="0" w:afterAutospacing="0" w:line="0" w:lineRule="atLeast"/>
        <w:jc w:val="center"/>
        <w:rPr>
          <w:rFonts w:hint="eastAsia" w:ascii="宋体" w:hAnsi="宋体" w:eastAsia="宋体" w:cs="宋体"/>
          <w:color w:val="auto"/>
          <w:highlight w:val="none"/>
        </w:rPr>
      </w:pPr>
    </w:p>
    <w:p w14:paraId="50216CEA">
      <w:pPr>
        <w:pStyle w:val="2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FD4D9D">
      <w:pP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p>
    <w:p w14:paraId="52275CA5">
      <w:pPr>
        <w:pStyle w:val="27"/>
        <w:spacing w:beforeAutospacing="0" w:afterAutospacing="0" w:line="0" w:lineRule="atLeast"/>
        <w:ind w:firstLine="161"/>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投标文件目录</w:t>
      </w:r>
    </w:p>
    <w:p w14:paraId="6619A6F2">
      <w:pPr>
        <w:pStyle w:val="27"/>
        <w:spacing w:beforeAutospacing="0" w:afterAutospacing="0" w:line="0" w:lineRule="atLeast"/>
        <w:jc w:val="center"/>
        <w:rPr>
          <w:rFonts w:hint="eastAsia" w:ascii="宋体" w:hAnsi="宋体" w:eastAsia="宋体" w:cs="宋体"/>
          <w:color w:val="auto"/>
          <w:highlight w:val="none"/>
        </w:rPr>
      </w:pPr>
    </w:p>
    <w:p w14:paraId="0A713C08">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5BA891C7">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二、上一年度的财务状况报告（至少提供资产负债表、利润表、现金流量表，投标人成立不满一年无需提供）</w:t>
      </w:r>
    </w:p>
    <w:p w14:paraId="0AD2E914">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0E0480B2">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0DA0A4F">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3EA079FF">
      <w:pPr>
        <w:pStyle w:val="27"/>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六、</w:t>
      </w:r>
      <w:r>
        <w:rPr>
          <w:rFonts w:hint="eastAsia" w:ascii="宋体" w:hAnsi="宋体" w:eastAsia="宋体" w:cs="宋体"/>
          <w:i/>
          <w:color w:val="auto"/>
          <w:highlight w:val="none"/>
          <w:u w:val="single"/>
        </w:rPr>
        <w:t>在“信用中国”网站查询，无被列入失信被执行人、重大税收违法案件当事人名单、政府采购严重失信行为记录名单及其他不符合《中华人民共和国政府采购法》第二十二条规定条件的信用记录。</w:t>
      </w:r>
    </w:p>
    <w:p w14:paraId="67959F5B">
      <w:pPr>
        <w:pStyle w:val="27"/>
        <w:numPr>
          <w:ilvl w:val="0"/>
          <w:numId w:val="1"/>
        </w:numPr>
        <w:spacing w:beforeAutospacing="0" w:afterAutospacing="0" w:line="0" w:lineRule="atLeas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单位负责人为同一人或者存在直接控股、管理关系的不同供应商，不</w:t>
      </w:r>
    </w:p>
    <w:p w14:paraId="54B01BDE">
      <w:pPr>
        <w:pStyle w:val="27"/>
        <w:spacing w:beforeAutospacing="0" w:afterAutospacing="0" w:line="0" w:lineRule="atLeast"/>
        <w:jc w:val="both"/>
        <w:rPr>
          <w:rFonts w:hint="default" w:ascii="宋体" w:hAnsi="宋体" w:eastAsia="宋体" w:cs="宋体"/>
          <w:i/>
          <w:color w:val="auto"/>
          <w:highlight w:val="none"/>
          <w:u w:val="single"/>
          <w:lang w:val="en-US" w:eastAsia="zh-CN"/>
        </w:rPr>
      </w:pPr>
      <w:r>
        <w:rPr>
          <w:rFonts w:hint="eastAsia" w:ascii="宋体" w:hAnsi="宋体" w:eastAsia="宋体" w:cs="宋体"/>
          <w:i/>
          <w:color w:val="auto"/>
          <w:highlight w:val="none"/>
          <w:u w:val="single"/>
        </w:rPr>
        <w:t>得参加同一合同项下的政府采购活动。</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lang w:val="en-US" w:eastAsia="zh-CN"/>
        </w:rPr>
        <w:t>提供承诺书格式自拟</w:t>
      </w:r>
      <w:r>
        <w:rPr>
          <w:rFonts w:hint="eastAsia" w:ascii="宋体" w:hAnsi="宋体" w:eastAsia="宋体" w:cs="宋体"/>
          <w:i/>
          <w:color w:val="auto"/>
          <w:highlight w:val="none"/>
          <w:u w:val="single"/>
          <w:lang w:eastAsia="zh-CN"/>
        </w:rPr>
        <w:t>）</w:t>
      </w:r>
    </w:p>
    <w:p w14:paraId="38A1C525">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lang w:val="en-US" w:eastAsia="zh-CN"/>
        </w:rPr>
        <w:t>八</w:t>
      </w:r>
      <w:r>
        <w:rPr>
          <w:rFonts w:hint="eastAsia" w:ascii="宋体" w:hAnsi="宋体" w:eastAsia="宋体" w:cs="宋体"/>
          <w:i/>
          <w:color w:val="auto"/>
          <w:highlight w:val="none"/>
          <w:u w:val="single"/>
        </w:rPr>
        <w:t>、特定资格要求的证明文件（如果本项目设置特定资格要求，则需要提供）</w:t>
      </w:r>
    </w:p>
    <w:p w14:paraId="7708FAA3">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lang w:val="en-US" w:eastAsia="zh-CN"/>
        </w:rPr>
        <w:t>九</w:t>
      </w:r>
      <w:r>
        <w:rPr>
          <w:rFonts w:hint="eastAsia" w:ascii="宋体" w:hAnsi="宋体" w:eastAsia="宋体" w:cs="宋体"/>
          <w:i/>
          <w:color w:val="auto"/>
          <w:highlight w:val="none"/>
          <w:u w:val="single"/>
        </w:rPr>
        <w:t>、法人授权书</w:t>
      </w:r>
    </w:p>
    <w:p w14:paraId="6624B681">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lang w:val="en-US" w:eastAsia="zh-CN"/>
        </w:rPr>
        <w:t>十</w:t>
      </w:r>
      <w:r>
        <w:rPr>
          <w:rFonts w:hint="eastAsia" w:ascii="宋体" w:hAnsi="宋体" w:eastAsia="宋体" w:cs="宋体"/>
          <w:i/>
          <w:color w:val="auto"/>
          <w:highlight w:val="none"/>
          <w:u w:val="single"/>
        </w:rPr>
        <w:t>、投标函</w:t>
      </w:r>
    </w:p>
    <w:p w14:paraId="4B89E28A">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十一</w:t>
      </w:r>
      <w:r>
        <w:rPr>
          <w:rFonts w:hint="eastAsia" w:ascii="宋体" w:hAnsi="宋体" w:eastAsia="宋体" w:cs="宋体"/>
          <w:color w:val="auto"/>
          <w:highlight w:val="none"/>
        </w:rPr>
        <w:t>、中小企业声明函</w:t>
      </w:r>
    </w:p>
    <w:p w14:paraId="35636540">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、残疾人福利性单位声明函</w:t>
      </w:r>
    </w:p>
    <w:p w14:paraId="64F9F031">
      <w:pPr>
        <w:pStyle w:val="27"/>
        <w:spacing w:beforeAutospacing="0" w:afterAutospacing="0" w:line="0" w:lineRule="atLeast"/>
        <w:ind w:firstLine="480"/>
        <w:jc w:val="both"/>
        <w:rPr>
          <w:rFonts w:hint="eastAsia" w:ascii="宋体" w:hAnsi="宋体" w:eastAsia="宋体" w:cs="宋体"/>
          <w:strike w:val="0"/>
          <w:color w:val="auto"/>
          <w:highlight w:val="none"/>
          <w:lang w:eastAsia="zh-CN"/>
        </w:rPr>
      </w:pPr>
      <w:r>
        <w:rPr>
          <w:rFonts w:hint="eastAsia" w:ascii="宋体" w:hAnsi="宋体" w:eastAsia="宋体" w:cs="宋体"/>
          <w:strike w:val="0"/>
          <w:color w:val="auto"/>
          <w:highlight w:val="none"/>
        </w:rPr>
        <w:t>十</w:t>
      </w:r>
      <w:r>
        <w:rPr>
          <w:rFonts w:hint="eastAsia" w:ascii="宋体" w:hAnsi="宋体" w:eastAsia="宋体" w:cs="宋体"/>
          <w:strike w:val="0"/>
          <w:color w:val="auto"/>
          <w:highlight w:val="none"/>
          <w:lang w:eastAsia="zh-CN"/>
        </w:rPr>
        <w:t>三</w:t>
      </w:r>
      <w:r>
        <w:rPr>
          <w:rFonts w:hint="eastAsia" w:ascii="宋体" w:hAnsi="宋体" w:eastAsia="宋体" w:cs="宋体"/>
          <w:strike w:val="0"/>
          <w:color w:val="auto"/>
          <w:highlight w:val="none"/>
        </w:rPr>
        <w:t>、</w:t>
      </w:r>
      <w:r>
        <w:rPr>
          <w:rFonts w:hint="eastAsia" w:ascii="宋体" w:hAnsi="宋体" w:eastAsia="宋体" w:cs="宋体"/>
          <w:strike w:val="0"/>
          <w:color w:val="auto"/>
          <w:highlight w:val="none"/>
          <w:lang w:val="en-US" w:eastAsia="zh-CN"/>
        </w:rPr>
        <w:t>开标一览表</w:t>
      </w:r>
    </w:p>
    <w:p w14:paraId="1C21B8DF">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、技术要求响应及偏离表</w:t>
      </w:r>
    </w:p>
    <w:p w14:paraId="24394A6B">
      <w:pPr>
        <w:pStyle w:val="27"/>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、商务要求响应及偏离表</w:t>
      </w:r>
    </w:p>
    <w:p w14:paraId="5DE317CE">
      <w:pPr>
        <w:pStyle w:val="27"/>
        <w:spacing w:beforeAutospacing="0" w:afterAutospacing="0" w:line="0" w:lineRule="atLeast"/>
        <w:ind w:firstLine="480"/>
        <w:jc w:val="both"/>
        <w:rPr>
          <w:rFonts w:hint="default" w:ascii="宋体" w:hAnsi="宋体" w:eastAsia="宋体" w:cs="宋体"/>
          <w:strike w:val="0"/>
          <w:color w:val="auto"/>
          <w:highlight w:val="none"/>
          <w:lang w:val="en-US" w:eastAsia="zh-CN"/>
        </w:rPr>
      </w:pPr>
      <w:r>
        <w:rPr>
          <w:rFonts w:hint="eastAsia" w:ascii="宋体" w:hAnsi="宋体" w:eastAsia="宋体" w:cs="宋体"/>
          <w:strike w:val="0"/>
          <w:color w:val="auto"/>
          <w:highlight w:val="none"/>
          <w:lang w:val="en-US" w:eastAsia="zh-CN"/>
        </w:rPr>
        <w:t>十六、服务承诺书</w:t>
      </w:r>
    </w:p>
    <w:p w14:paraId="3ACBE4B1">
      <w:pPr>
        <w:pStyle w:val="27"/>
        <w:spacing w:beforeAutospacing="0" w:afterAutospacing="0" w:line="0" w:lineRule="atLeast"/>
        <w:ind w:firstLine="480"/>
        <w:jc w:val="both"/>
        <w:rPr>
          <w:rFonts w:hint="eastAsia" w:ascii="宋体" w:hAnsi="宋体" w:eastAsia="宋体" w:cs="宋体"/>
          <w:strike w:val="0"/>
          <w:color w:val="auto"/>
          <w:highlight w:val="none"/>
        </w:rPr>
      </w:pPr>
      <w:r>
        <w:rPr>
          <w:rFonts w:hint="eastAsia" w:ascii="宋体" w:hAnsi="宋体" w:eastAsia="宋体" w:cs="宋体"/>
          <w:strike w:val="0"/>
          <w:color w:val="auto"/>
          <w:highlight w:val="none"/>
        </w:rPr>
        <w:t>十</w:t>
      </w:r>
      <w:r>
        <w:rPr>
          <w:rFonts w:hint="eastAsia" w:ascii="宋体" w:hAnsi="宋体" w:eastAsia="宋体" w:cs="宋体"/>
          <w:strike w:val="0"/>
          <w:color w:val="auto"/>
          <w:highlight w:val="none"/>
          <w:lang w:val="en-US" w:eastAsia="zh-CN"/>
        </w:rPr>
        <w:t>七</w:t>
      </w:r>
      <w:r>
        <w:rPr>
          <w:rFonts w:hint="eastAsia" w:ascii="宋体" w:hAnsi="宋体" w:eastAsia="宋体" w:cs="宋体"/>
          <w:strike w:val="0"/>
          <w:color w:val="auto"/>
          <w:highlight w:val="none"/>
        </w:rPr>
        <w:t>、盐城市政府采购事前信用承诺书</w:t>
      </w:r>
    </w:p>
    <w:p w14:paraId="794024C1">
      <w:pPr>
        <w:widowControl/>
        <w:spacing w:before="50" w:after="50"/>
        <w:rPr>
          <w:rFonts w:hint="eastAsia" w:ascii="宋体" w:hAnsi="宋体" w:eastAsia="宋体" w:cs="宋体"/>
          <w:strike/>
          <w:color w:val="auto"/>
          <w:sz w:val="24"/>
          <w:highlight w:val="none"/>
        </w:rPr>
      </w:pPr>
    </w:p>
    <w:p w14:paraId="425E17C8">
      <w:pPr>
        <w:pStyle w:val="27"/>
        <w:spacing w:beforeAutospacing="0" w:afterAutospacing="0" w:line="360" w:lineRule="auto"/>
        <w:ind w:firstLine="480"/>
        <w:jc w:val="both"/>
        <w:rPr>
          <w:rFonts w:hint="eastAsia" w:ascii="宋体" w:hAnsi="宋体" w:eastAsia="宋体" w:cs="宋体"/>
          <w:color w:val="auto"/>
          <w:highlight w:val="none"/>
        </w:rPr>
      </w:pPr>
    </w:p>
    <w:p w14:paraId="2E6AAE8E">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85EF15B">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941B4E4">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3AC268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235D7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E5A596A">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EA2266">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B059E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599752">
      <w:pPr>
        <w:pStyle w:val="27"/>
        <w:spacing w:beforeAutospacing="0" w:afterAutospacing="0" w:line="0" w:lineRule="atLeast"/>
        <w:ind w:firstLine="120"/>
        <w:jc w:val="both"/>
        <w:rPr>
          <w:rFonts w:hint="eastAsia" w:ascii="宋体" w:hAnsi="宋体" w:eastAsia="宋体" w:cs="宋体"/>
          <w:color w:val="auto"/>
          <w:highlight w:val="none"/>
        </w:rPr>
      </w:pPr>
    </w:p>
    <w:p w14:paraId="3EB9ED29">
      <w:pPr>
        <w:pStyle w:val="27"/>
        <w:spacing w:beforeAutospacing="0" w:afterAutospacing="0" w:line="0" w:lineRule="atLeast"/>
        <w:ind w:firstLine="120"/>
        <w:jc w:val="both"/>
        <w:rPr>
          <w:rFonts w:hint="eastAsia" w:ascii="宋体" w:hAnsi="宋体" w:eastAsia="宋体" w:cs="宋体"/>
          <w:color w:val="auto"/>
          <w:highlight w:val="none"/>
        </w:rPr>
      </w:pPr>
    </w:p>
    <w:p w14:paraId="13E033A8">
      <w:pPr>
        <w:pStyle w:val="27"/>
        <w:spacing w:beforeAutospacing="0" w:afterAutospacing="0" w:line="0" w:lineRule="atLeast"/>
        <w:ind w:firstLine="120"/>
        <w:jc w:val="both"/>
        <w:rPr>
          <w:rFonts w:hint="eastAsia" w:ascii="宋体" w:hAnsi="宋体" w:eastAsia="宋体" w:cs="宋体"/>
          <w:color w:val="auto"/>
          <w:highlight w:val="none"/>
        </w:rPr>
      </w:pPr>
    </w:p>
    <w:p w14:paraId="30683B12">
      <w:pPr>
        <w:pStyle w:val="27"/>
        <w:spacing w:beforeAutospacing="0" w:afterAutospacing="0" w:line="0" w:lineRule="atLeast"/>
        <w:ind w:firstLine="120"/>
        <w:jc w:val="both"/>
        <w:rPr>
          <w:rFonts w:hint="eastAsia" w:ascii="宋体" w:hAnsi="宋体" w:eastAsia="宋体" w:cs="宋体"/>
          <w:color w:val="auto"/>
          <w:highlight w:val="none"/>
        </w:rPr>
      </w:pPr>
    </w:p>
    <w:p w14:paraId="774E2D54">
      <w:pPr>
        <w:pStyle w:val="27"/>
        <w:spacing w:beforeAutospacing="0" w:afterAutospacing="0" w:line="0" w:lineRule="atLeast"/>
        <w:jc w:val="both"/>
        <w:rPr>
          <w:rFonts w:hint="eastAsia" w:ascii="宋体" w:hAnsi="宋体" w:eastAsia="宋体" w:cs="宋体"/>
          <w:color w:val="auto"/>
          <w:highlight w:val="none"/>
        </w:rPr>
      </w:pPr>
    </w:p>
    <w:p w14:paraId="6BEE7E05">
      <w:pPr>
        <w:pStyle w:val="27"/>
        <w:spacing w:beforeAutospacing="0" w:afterAutospacing="0" w:line="0" w:lineRule="atLeast"/>
        <w:jc w:val="both"/>
        <w:rPr>
          <w:rFonts w:hint="eastAsia" w:ascii="宋体" w:hAnsi="宋体" w:eastAsia="宋体" w:cs="宋体"/>
          <w:color w:val="auto"/>
          <w:highlight w:val="none"/>
        </w:rPr>
      </w:pPr>
    </w:p>
    <w:p w14:paraId="6A0D96C0">
      <w:pPr>
        <w:pStyle w:val="27"/>
        <w:spacing w:beforeAutospacing="0" w:afterAutospacing="0"/>
        <w:ind w:firstLine="160"/>
        <w:jc w:val="both"/>
        <w:rPr>
          <w:rFonts w:hint="eastAsia" w:ascii="宋体" w:hAnsi="宋体" w:eastAsia="宋体" w:cs="宋体"/>
          <w:i/>
          <w:color w:val="auto"/>
          <w:sz w:val="32"/>
          <w:szCs w:val="32"/>
          <w:highlight w:val="none"/>
          <w:u w:val="single"/>
        </w:rPr>
      </w:pPr>
    </w:p>
    <w:p w14:paraId="3AEB8AB6">
      <w:pPr>
        <w:pStyle w:val="27"/>
        <w:spacing w:beforeAutospacing="0" w:afterAutospacing="0"/>
        <w:ind w:firstLine="16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6CFA3E3E">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39E877D">
      <w:pPr>
        <w:pStyle w:val="27"/>
        <w:spacing w:beforeAutospacing="0" w:afterAutospacing="0"/>
        <w:ind w:firstLine="160"/>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二、上一年度的财务状况报告</w:t>
      </w:r>
    </w:p>
    <w:p w14:paraId="68CE1A1E">
      <w:pPr>
        <w:tabs>
          <w:tab w:val="left" w:pos="1331"/>
        </w:tabs>
        <w:ind w:firstLine="480"/>
        <w:jc w:val="left"/>
        <w:rPr>
          <w:rFonts w:hint="eastAsia" w:ascii="宋体" w:hAnsi="宋体" w:eastAsia="宋体" w:cs="宋体"/>
          <w:color w:val="auto"/>
          <w:highlight w:val="none"/>
        </w:rPr>
      </w:pPr>
      <w:r>
        <w:rPr>
          <w:rFonts w:hint="eastAsia" w:ascii="宋体" w:hAnsi="宋体" w:eastAsia="宋体" w:cs="宋体"/>
          <w:i/>
          <w:color w:val="auto"/>
          <w:sz w:val="24"/>
          <w:highlight w:val="none"/>
          <w:u w:val="single"/>
        </w:rPr>
        <w:t>（至少提供资产负债表、利润表、现金流量表，</w:t>
      </w:r>
      <w:r>
        <w:rPr>
          <w:rFonts w:hint="eastAsia" w:ascii="宋体" w:hAnsi="宋体" w:eastAsia="宋体" w:cs="宋体"/>
          <w:i/>
          <w:color w:val="auto"/>
          <w:highlight w:val="none"/>
          <w:u w:val="single"/>
        </w:rPr>
        <w:t>投标人成立不满一年无需提供）</w:t>
      </w:r>
    </w:p>
    <w:p w14:paraId="77ACE6F5">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C8D0DD">
      <w:pPr>
        <w:pStyle w:val="27"/>
        <w:spacing w:beforeAutospacing="0" w:afterAutospacing="0"/>
        <w:ind w:firstLine="16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三、具备履行合同所必需的设备和专业技术能力的书面声明</w:t>
      </w:r>
    </w:p>
    <w:p w14:paraId="409C9803">
      <w:pPr>
        <w:pStyle w:val="27"/>
        <w:spacing w:beforeAutospacing="0" w:afterAutospacing="0" w:line="360" w:lineRule="auto"/>
        <w:ind w:firstLine="492"/>
        <w:jc w:val="both"/>
        <w:rPr>
          <w:color w:val="auto"/>
          <w:highlight w:val="none"/>
        </w:rPr>
      </w:pPr>
      <w:r>
        <w:rPr>
          <w:rFonts w:hint="eastAsia" w:ascii="宋体" w:hAnsi="宋体" w:cs="宋体"/>
          <w:color w:val="auto"/>
          <w:highlight w:val="none"/>
        </w:rPr>
        <w:t>我单位郑重声明：我单位具备履行本项采购合同所必需的设备和专业技术能力，为履行本项采购合同我公司具备如下主要设备和主要专业技术能力：</w:t>
      </w:r>
    </w:p>
    <w:p w14:paraId="54F5BFB2">
      <w:pPr>
        <w:pStyle w:val="27"/>
        <w:spacing w:beforeAutospacing="0" w:afterAutospacing="0" w:line="360" w:lineRule="auto"/>
        <w:ind w:firstLine="492"/>
        <w:jc w:val="both"/>
        <w:rPr>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4883670">
      <w:pPr>
        <w:pStyle w:val="27"/>
        <w:spacing w:beforeAutospacing="0" w:afterAutospacing="0" w:line="360" w:lineRule="auto"/>
        <w:ind w:firstLine="480"/>
        <w:jc w:val="both"/>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B92FEF0">
      <w:pPr>
        <w:pStyle w:val="27"/>
        <w:spacing w:beforeAutospacing="0" w:afterAutospacing="0" w:line="360" w:lineRule="auto"/>
        <w:jc w:val="both"/>
        <w:rPr>
          <w:rFonts w:ascii="黑体" w:hAnsi="宋体" w:eastAsia="黑体" w:cs="黑体"/>
          <w:i/>
          <w:color w:val="auto"/>
          <w:sz w:val="32"/>
          <w:szCs w:val="32"/>
          <w:highlight w:val="none"/>
          <w:u w:val="single"/>
        </w:rPr>
      </w:pPr>
    </w:p>
    <w:p w14:paraId="516F7FA6">
      <w:pPr>
        <w:pStyle w:val="27"/>
        <w:tabs>
          <w:tab w:val="left" w:pos="4864"/>
        </w:tabs>
        <w:spacing w:beforeAutospacing="0" w:afterAutospacing="0" w:line="360" w:lineRule="auto"/>
        <w:ind w:right="1560" w:firstLine="3840"/>
        <w:jc w:val="both"/>
        <w:rPr>
          <w:color w:val="auto"/>
          <w:highlight w:val="none"/>
        </w:rPr>
      </w:pPr>
      <w:r>
        <w:rPr>
          <w:rFonts w:hint="eastAsia" w:ascii="宋体" w:hAnsi="宋体" w:cs="宋体"/>
          <w:color w:val="auto"/>
          <w:highlight w:val="none"/>
        </w:rPr>
        <w:t>供应商全称（公章）：</w:t>
      </w:r>
    </w:p>
    <w:p w14:paraId="35A5833F">
      <w:pPr>
        <w:pStyle w:val="27"/>
        <w:tabs>
          <w:tab w:val="left" w:pos="4864"/>
        </w:tabs>
        <w:spacing w:beforeAutospacing="0" w:afterAutospacing="0" w:line="360" w:lineRule="auto"/>
        <w:ind w:right="1560" w:firstLine="3120"/>
        <w:jc w:val="both"/>
        <w:rPr>
          <w:rFonts w:ascii="宋体" w:hAnsi="宋体" w:cs="宋体"/>
          <w:color w:val="auto"/>
          <w:highlight w:val="none"/>
        </w:rPr>
      </w:pPr>
    </w:p>
    <w:p w14:paraId="504CCE2F">
      <w:pPr>
        <w:spacing w:line="360" w:lineRule="auto"/>
        <w:ind w:firstLine="3990"/>
        <w:rPr>
          <w:rFonts w:hint="eastAsia" w:ascii="黑体" w:hAnsi="宋体" w:eastAsia="黑体" w:cs="黑体"/>
          <w:i/>
          <w:color w:val="auto"/>
          <w:sz w:val="32"/>
          <w:szCs w:val="32"/>
          <w:highlight w:val="none"/>
          <w:u w:val="single"/>
        </w:rPr>
      </w:pPr>
      <w:r>
        <w:rPr>
          <w:rFonts w:hint="eastAsia" w:ascii="宋体" w:hAnsi="宋体" w:cs="宋体"/>
          <w:color w:val="auto"/>
          <w:highlight w:val="none"/>
        </w:rPr>
        <w:t>日  期：</w:t>
      </w:r>
    </w:p>
    <w:p w14:paraId="427D47B6">
      <w:pPr>
        <w:pStyle w:val="27"/>
        <w:spacing w:beforeAutospacing="0" w:afterAutospacing="0"/>
        <w:jc w:val="both"/>
        <w:rPr>
          <w:rFonts w:hint="eastAsia" w:ascii="宋体" w:hAnsi="宋体" w:eastAsia="宋体" w:cs="宋体"/>
          <w:color w:val="auto"/>
          <w:highlight w:val="none"/>
        </w:rPr>
      </w:pPr>
    </w:p>
    <w:p w14:paraId="0E910E92">
      <w:pPr>
        <w:pStyle w:val="27"/>
        <w:spacing w:beforeAutospacing="0" w:afterAutospacing="0"/>
        <w:ind w:firstLine="16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四、依法缴纳税收和社会保障资金的相关材料</w:t>
      </w:r>
    </w:p>
    <w:p w14:paraId="57126D23">
      <w:pPr>
        <w:pStyle w:val="27"/>
        <w:spacing w:beforeAutospacing="0" w:afterAutospacing="0"/>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75E89F7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415A8B">
      <w:pPr>
        <w:pStyle w:val="27"/>
        <w:spacing w:beforeAutospacing="0" w:afterAutospacing="0"/>
        <w:ind w:firstLine="16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1806909E">
      <w:pPr>
        <w:pStyle w:val="27"/>
        <w:spacing w:beforeAutospacing="0" w:afterAutospacing="0" w:line="0" w:lineRule="atLeast"/>
        <w:ind w:firstLine="221"/>
        <w:jc w:val="both"/>
        <w:rPr>
          <w:color w:val="auto"/>
          <w:highlight w:val="none"/>
        </w:rPr>
      </w:pPr>
      <w:r>
        <w:rPr>
          <w:rFonts w:hint="eastAsia" w:ascii="宋体" w:hAnsi="宋体" w:eastAsia="宋体" w:cs="宋体"/>
          <w:b/>
          <w:color w:val="auto"/>
          <w:sz w:val="44"/>
          <w:szCs w:val="44"/>
          <w:highlight w:val="none"/>
        </w:rPr>
        <w:t xml:space="preserve">         </w:t>
      </w:r>
      <w:r>
        <w:rPr>
          <w:rFonts w:hint="eastAsia" w:ascii="宋体" w:hAnsi="宋体" w:cs="宋体"/>
          <w:b/>
          <w:color w:val="auto"/>
          <w:sz w:val="44"/>
          <w:szCs w:val="44"/>
          <w:highlight w:val="none"/>
        </w:rPr>
        <w:t>声  明</w:t>
      </w:r>
    </w:p>
    <w:p w14:paraId="1405D57A">
      <w:pPr>
        <w:pStyle w:val="27"/>
        <w:spacing w:beforeAutospacing="0" w:afterAutospacing="0" w:line="360" w:lineRule="auto"/>
        <w:jc w:val="both"/>
        <w:rPr>
          <w:color w:val="auto"/>
          <w:highlight w:val="none"/>
        </w:rPr>
      </w:pPr>
      <w:r>
        <w:rPr>
          <w:rFonts w:hint="eastAsia" w:ascii="宋体" w:hAnsi="宋体" w:cs="宋体"/>
          <w:b/>
          <w:color w:val="auto"/>
          <w:highlight w:val="none"/>
        </w:rPr>
        <w:t>  </w:t>
      </w:r>
      <w:r>
        <w:rPr>
          <w:rFonts w:hint="eastAsia" w:ascii="宋体" w:hAnsi="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4A0E02E">
      <w:pPr>
        <w:pStyle w:val="27"/>
        <w:spacing w:beforeAutospacing="0" w:afterAutospacing="0" w:line="360" w:lineRule="auto"/>
        <w:jc w:val="both"/>
        <w:rPr>
          <w:color w:val="auto"/>
          <w:highlight w:val="none"/>
        </w:rPr>
      </w:pPr>
      <w:r>
        <w:rPr>
          <w:color w:val="auto"/>
          <w:highlight w:val="none"/>
        </w:rPr>
        <w:t> </w:t>
      </w:r>
    </w:p>
    <w:p w14:paraId="1BAD0EAF">
      <w:pPr>
        <w:pStyle w:val="27"/>
        <w:tabs>
          <w:tab w:val="left" w:pos="4864"/>
        </w:tabs>
        <w:spacing w:beforeAutospacing="0" w:afterAutospacing="0" w:line="360" w:lineRule="auto"/>
        <w:ind w:right="1560" w:firstLine="4008"/>
        <w:jc w:val="both"/>
        <w:rPr>
          <w:color w:val="auto"/>
          <w:highlight w:val="none"/>
        </w:rPr>
      </w:pPr>
      <w:r>
        <w:rPr>
          <w:rFonts w:hint="eastAsia" w:ascii="宋体" w:hAnsi="宋体" w:cs="宋体"/>
          <w:color w:val="auto"/>
          <w:highlight w:val="none"/>
        </w:rPr>
        <w:t>供应商全称（公章）：</w:t>
      </w:r>
    </w:p>
    <w:p w14:paraId="0679604B">
      <w:pPr>
        <w:pStyle w:val="27"/>
        <w:tabs>
          <w:tab w:val="left" w:pos="4864"/>
        </w:tabs>
        <w:spacing w:beforeAutospacing="0" w:afterAutospacing="0" w:line="360" w:lineRule="auto"/>
        <w:ind w:right="1560" w:firstLine="3120"/>
        <w:jc w:val="both"/>
        <w:rPr>
          <w:rFonts w:ascii="宋体" w:hAnsi="宋体" w:cs="宋体"/>
          <w:color w:val="auto"/>
          <w:highlight w:val="none"/>
        </w:rPr>
      </w:pPr>
    </w:p>
    <w:p w14:paraId="00B52354">
      <w:pPr>
        <w:spacing w:line="360" w:lineRule="auto"/>
        <w:ind w:firstLine="3990"/>
        <w:rPr>
          <w:rFonts w:hint="eastAsia" w:ascii="黑体" w:hAnsi="宋体" w:eastAsia="黑体" w:cs="黑体"/>
          <w:i/>
          <w:color w:val="auto"/>
          <w:sz w:val="32"/>
          <w:szCs w:val="32"/>
          <w:highlight w:val="none"/>
          <w:u w:val="single"/>
        </w:rPr>
      </w:pPr>
      <w:r>
        <w:rPr>
          <w:rFonts w:hint="eastAsia" w:ascii="宋体" w:hAnsi="宋体" w:cs="宋体"/>
          <w:color w:val="auto"/>
          <w:highlight w:val="none"/>
        </w:rPr>
        <w:t>日  期：</w:t>
      </w:r>
    </w:p>
    <w:p w14:paraId="1FACFE86">
      <w:pPr>
        <w:pStyle w:val="27"/>
        <w:spacing w:beforeAutospacing="0" w:afterAutospacing="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六、</w:t>
      </w:r>
      <w:r>
        <w:rPr>
          <w:rFonts w:hint="eastAsia" w:ascii="宋体" w:hAnsi="宋体" w:eastAsia="宋体" w:cs="宋体"/>
          <w:i/>
          <w:color w:val="auto"/>
          <w:highlight w:val="none"/>
          <w:u w:val="single"/>
        </w:rPr>
        <w:t>在“信用中国”网站查询，无被列入失信被执行人、重大税收违法案</w:t>
      </w:r>
    </w:p>
    <w:p w14:paraId="56F491D6">
      <w:pPr>
        <w:pStyle w:val="27"/>
        <w:spacing w:beforeAutospacing="0" w:afterAutospacing="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件当事人名单、政府采购严重失信行为记录名单及其他不符合《中华人民共和国政府采购法》第二十二条规定条件的信用记录。</w:t>
      </w:r>
    </w:p>
    <w:p w14:paraId="14893CF4">
      <w:pPr>
        <w:pStyle w:val="27"/>
        <w:numPr>
          <w:ilvl w:val="0"/>
          <w:numId w:val="0"/>
        </w:numPr>
        <w:spacing w:beforeAutospacing="0" w:afterAutospacing="0"/>
        <w:ind w:left="480"/>
        <w:jc w:val="both"/>
        <w:rPr>
          <w:rFonts w:hint="eastAsia" w:ascii="宋体" w:hAnsi="宋体" w:eastAsia="宋体" w:cs="宋体"/>
          <w:i/>
          <w:color w:val="auto"/>
          <w:sz w:val="24"/>
          <w:szCs w:val="24"/>
          <w:highlight w:val="none"/>
          <w:lang w:val="en-US" w:eastAsia="zh-CN" w:bidi="ar-SA"/>
        </w:rPr>
      </w:pPr>
    </w:p>
    <w:p w14:paraId="6966309F">
      <w:pPr>
        <w:pStyle w:val="27"/>
        <w:numPr>
          <w:ilvl w:val="0"/>
          <w:numId w:val="0"/>
        </w:numPr>
        <w:spacing w:beforeAutospacing="0" w:afterAutospacing="0"/>
        <w:jc w:val="both"/>
        <w:rPr>
          <w:rFonts w:hint="eastAsia" w:ascii="宋体" w:hAnsi="宋体" w:eastAsia="宋体" w:cs="宋体"/>
          <w:i/>
          <w:color w:val="auto"/>
          <w:highlight w:val="none"/>
          <w:u w:val="single"/>
        </w:rPr>
      </w:pPr>
      <w:r>
        <w:rPr>
          <w:rFonts w:hint="eastAsia" w:ascii="宋体" w:hAnsi="宋体" w:eastAsia="宋体" w:cs="宋体"/>
          <w:i/>
          <w:color w:val="auto"/>
          <w:sz w:val="24"/>
          <w:szCs w:val="24"/>
          <w:highlight w:val="none"/>
          <w:lang w:val="en-US" w:eastAsia="zh-CN" w:bidi="ar-SA"/>
        </w:rPr>
        <w:t>七、</w:t>
      </w:r>
      <w:r>
        <w:rPr>
          <w:rFonts w:hint="eastAsia" w:ascii="宋体" w:hAnsi="宋体" w:eastAsia="宋体" w:cs="宋体"/>
          <w:i/>
          <w:color w:val="auto"/>
          <w:highlight w:val="none"/>
          <w:u w:val="single"/>
        </w:rPr>
        <w:t>单位负责人为同一人或者存在直接控股、管理关系的不同供应商，不</w:t>
      </w:r>
    </w:p>
    <w:p w14:paraId="074C21DE">
      <w:pPr>
        <w:pStyle w:val="27"/>
        <w:spacing w:beforeAutospacing="0" w:afterAutospacing="0"/>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highlight w:val="none"/>
          <w:u w:val="single"/>
        </w:rPr>
        <w:t>得参加同一合同项下的政府采购活动。</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lang w:val="en-US" w:eastAsia="zh-CN"/>
        </w:rPr>
        <w:t>提供承诺书格式自拟</w:t>
      </w:r>
      <w:r>
        <w:rPr>
          <w:rFonts w:hint="eastAsia" w:ascii="宋体" w:hAnsi="宋体" w:eastAsia="宋体" w:cs="宋体"/>
          <w:i/>
          <w:color w:val="auto"/>
          <w:highlight w:val="none"/>
          <w:u w:val="single"/>
          <w:lang w:eastAsia="zh-CN"/>
        </w:rPr>
        <w:t>）</w:t>
      </w:r>
    </w:p>
    <w:p w14:paraId="2A1D6E74">
      <w:pPr>
        <w:pStyle w:val="27"/>
        <w:spacing w:beforeAutospacing="0" w:afterAutospacing="0"/>
        <w:jc w:val="both"/>
        <w:rPr>
          <w:rFonts w:hint="eastAsia" w:ascii="宋体" w:hAnsi="宋体" w:eastAsia="宋体" w:cs="宋体"/>
          <w:i/>
          <w:color w:val="auto"/>
          <w:sz w:val="32"/>
          <w:szCs w:val="32"/>
          <w:highlight w:val="none"/>
          <w:u w:val="single"/>
        </w:rPr>
      </w:pPr>
    </w:p>
    <w:p w14:paraId="754867E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、特定资格要求的证明文件</w:t>
      </w:r>
    </w:p>
    <w:p w14:paraId="2E357A57">
      <w:pPr>
        <w:pStyle w:val="2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7C83E411">
      <w:pPr>
        <w:pStyle w:val="27"/>
        <w:spacing w:beforeAutospacing="0" w:afterAutospacing="0"/>
        <w:ind w:firstLine="160"/>
        <w:jc w:val="center"/>
        <w:rPr>
          <w:rFonts w:hint="eastAsia" w:ascii="宋体" w:hAnsi="宋体" w:eastAsia="宋体" w:cs="宋体"/>
          <w:i/>
          <w:color w:val="auto"/>
          <w:sz w:val="32"/>
          <w:szCs w:val="32"/>
          <w:highlight w:val="none"/>
          <w:u w:val="single"/>
        </w:rPr>
      </w:pPr>
      <w:bookmarkStart w:id="156" w:name="_Toc120614284"/>
    </w:p>
    <w:p w14:paraId="5F842A6F">
      <w:pPr>
        <w:pStyle w:val="27"/>
        <w:spacing w:beforeAutospacing="0" w:afterAutospacing="0"/>
        <w:ind w:firstLine="160"/>
        <w:jc w:val="center"/>
        <w:rPr>
          <w:rFonts w:hint="eastAsia" w:ascii="宋体" w:hAnsi="宋体" w:eastAsia="宋体" w:cs="宋体"/>
          <w:bCs/>
          <w:i/>
          <w:color w:val="auto"/>
          <w:sz w:val="32"/>
          <w:szCs w:val="32"/>
          <w:highlight w:val="none"/>
          <w:u w:val="single"/>
        </w:rPr>
      </w:pPr>
    </w:p>
    <w:p w14:paraId="1ACF309C">
      <w:pPr>
        <w:pStyle w:val="27"/>
        <w:spacing w:beforeAutospacing="0" w:afterAutospacing="0"/>
        <w:jc w:val="both"/>
        <w:rPr>
          <w:rFonts w:ascii="黑体" w:hAnsi="宋体" w:eastAsia="黑体" w:cs="黑体"/>
          <w:bCs/>
          <w:i/>
          <w:color w:val="auto"/>
          <w:sz w:val="32"/>
          <w:szCs w:val="32"/>
          <w:highlight w:val="none"/>
          <w:u w:val="single"/>
        </w:rPr>
      </w:pPr>
      <w:bookmarkStart w:id="157" w:name="_Hlt26671380"/>
      <w:bookmarkStart w:id="158" w:name="_格式3__银行出具的资信证明"/>
      <w:bookmarkStart w:id="159" w:name="_Hlt26955070"/>
      <w:r>
        <w:rPr>
          <w:rFonts w:hint="eastAsia" w:ascii="黑体" w:hAnsi="宋体" w:eastAsia="黑体" w:cs="黑体"/>
          <w:i/>
          <w:color w:val="auto"/>
          <w:sz w:val="32"/>
          <w:szCs w:val="32"/>
          <w:highlight w:val="none"/>
          <w:u w:val="single"/>
          <w:lang w:val="en-US" w:eastAsia="zh-CN"/>
        </w:rPr>
        <w:t>九</w:t>
      </w:r>
      <w:r>
        <w:rPr>
          <w:rFonts w:hint="eastAsia" w:ascii="黑体" w:hAnsi="宋体" w:eastAsia="黑体" w:cs="黑体"/>
          <w:i/>
          <w:color w:val="auto"/>
          <w:sz w:val="32"/>
          <w:szCs w:val="32"/>
          <w:highlight w:val="none"/>
          <w:u w:val="single"/>
        </w:rPr>
        <w:t>、法人授权书</w:t>
      </w:r>
    </w:p>
    <w:p w14:paraId="222FD150">
      <w:pPr>
        <w:pStyle w:val="27"/>
        <w:tabs>
          <w:tab w:val="left" w:pos="360"/>
        </w:tabs>
        <w:spacing w:beforeAutospacing="0" w:afterAutospacing="0"/>
        <w:ind w:firstLine="480"/>
        <w:jc w:val="both"/>
        <w:rPr>
          <w:rFonts w:ascii="Times New Roman" w:hAnsi="Times New Roman"/>
          <w:color w:val="auto"/>
          <w:highlight w:val="none"/>
        </w:rPr>
      </w:pPr>
    </w:p>
    <w:p w14:paraId="343F0C8C">
      <w:pPr>
        <w:pStyle w:val="27"/>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号项目采购活动的合法代理人，以本单位名义全权处理一切与该项目采购有关的事务。被授权人</w:t>
      </w:r>
      <w:r>
        <w:rPr>
          <w:rFonts w:hint="eastAsia" w:ascii="宋体" w:hAnsi="宋体"/>
          <w:color w:val="auto"/>
          <w:sz w:val="24"/>
          <w:szCs w:val="24"/>
          <w:highlight w:val="none"/>
        </w:rPr>
        <w:t>无转委托权。</w:t>
      </w:r>
    </w:p>
    <w:p w14:paraId="39899E29">
      <w:pPr>
        <w:pStyle w:val="27"/>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本授权书于______年____月____日起生效，特此声明。</w:t>
      </w:r>
    </w:p>
    <w:p w14:paraId="1600FB20">
      <w:pPr>
        <w:pStyle w:val="27"/>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216ED427">
      <w:pPr>
        <w:pStyle w:val="27"/>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540EE08">
      <w:pPr>
        <w:pStyle w:val="27"/>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（公章）</w:t>
      </w:r>
    </w:p>
    <w:p w14:paraId="071607F7">
      <w:pPr>
        <w:pStyle w:val="27"/>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lang w:val="en-US" w:eastAsia="zh-CN"/>
        </w:rPr>
        <w:t xml:space="preserve">  </w:t>
      </w:r>
      <w:r>
        <w:rPr>
          <w:rFonts w:ascii="Times New Roman" w:hAnsi="Times New Roman"/>
          <w:color w:val="auto"/>
          <w:highlight w:val="none"/>
        </w:rPr>
        <w:t>单位地址：</w:t>
      </w:r>
      <w:r>
        <w:rPr>
          <w:rFonts w:ascii="Times New Roman" w:hAnsi="Times New Roman"/>
          <w:color w:val="auto"/>
          <w:highlight w:val="none"/>
          <w:u w:val="single"/>
        </w:rPr>
        <w:t xml:space="preserve">                                         </w:t>
      </w:r>
    </w:p>
    <w:p w14:paraId="79CC51AD">
      <w:pPr>
        <w:pStyle w:val="27"/>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lang w:val="en-US" w:eastAsia="zh-CN"/>
        </w:rPr>
        <w:t xml:space="preserve">  </w:t>
      </w:r>
      <w:r>
        <w:rPr>
          <w:rFonts w:ascii="Times New Roman" w:hAnsi="Times New Roman"/>
          <w:color w:val="auto"/>
          <w:highlight w:val="none"/>
        </w:rPr>
        <w:t>日期：</w:t>
      </w:r>
      <w:r>
        <w:rPr>
          <w:rFonts w:ascii="Times New Roman" w:hAnsi="Times New Roman"/>
          <w:color w:val="auto"/>
          <w:highlight w:val="none"/>
          <w:u w:val="single"/>
        </w:rPr>
        <w:t xml:space="preserve">                                         </w:t>
      </w:r>
    </w:p>
    <w:p w14:paraId="4DE14759">
      <w:pPr>
        <w:pStyle w:val="27"/>
        <w:tabs>
          <w:tab w:val="left" w:pos="360"/>
        </w:tabs>
        <w:spacing w:beforeAutospacing="0" w:afterAutospacing="0"/>
        <w:ind w:firstLine="480"/>
        <w:jc w:val="both"/>
        <w:rPr>
          <w:color w:val="auto"/>
          <w:highlight w:val="none"/>
        </w:rPr>
      </w:pPr>
      <w:r>
        <w:rPr>
          <w:color w:val="auto"/>
          <w:highlight w:val="none"/>
        </w:rPr>
        <w:t> </w:t>
      </w:r>
    </w:p>
    <w:p w14:paraId="77922756">
      <w:pPr>
        <w:pStyle w:val="27"/>
        <w:tabs>
          <w:tab w:val="left" w:pos="360"/>
        </w:tabs>
        <w:spacing w:beforeAutospacing="0" w:afterAutospacing="0"/>
        <w:ind w:firstLine="480"/>
        <w:jc w:val="both"/>
        <w:rPr>
          <w:color w:val="auto"/>
          <w:highlight w:val="none"/>
        </w:rPr>
      </w:pPr>
      <w:r>
        <w:rPr>
          <w:color w:val="auto"/>
          <w:highlight w:val="none"/>
        </w:rPr>
        <w:t> </w:t>
      </w:r>
    </w:p>
    <w:p w14:paraId="4DD27D71">
      <w:pPr>
        <w:keepNext w:val="0"/>
        <w:keepLines w:val="0"/>
        <w:pageBreakBefore w:val="0"/>
        <w:widowControl w:val="0"/>
        <w:tabs>
          <w:tab w:val="left" w:pos="2730"/>
        </w:tabs>
        <w:ind w:left="-525" w:right="-525" w:firstLine="420"/>
        <w:rPr>
          <w:rFonts w:ascii="宋体" w:hAnsi="宋体"/>
          <w:b/>
          <w:color w:val="auto"/>
          <w:sz w:val="22"/>
          <w:szCs w:val="28"/>
          <w:highlight w:val="none"/>
        </w:rPr>
      </w:pPr>
      <w:r>
        <w:rPr>
          <w:color w:val="auto"/>
          <w:highlight w:val="none"/>
        </w:rPr>
        <w:t> </w:t>
      </w:r>
      <w:r>
        <w:rPr>
          <w:rFonts w:ascii="Times New Roman" w:hAnsi="Times New Roman"/>
          <w:b/>
          <w:bCs/>
          <w:color w:val="auto"/>
          <w:highlight w:val="none"/>
        </w:rPr>
        <w:t>被授权人</w:t>
      </w:r>
      <w:r>
        <w:rPr>
          <w:rFonts w:hint="eastAsia" w:ascii="宋体" w:hAnsi="宋体"/>
          <w:b/>
          <w:bCs/>
          <w:color w:val="auto"/>
          <w:highlight w:val="none"/>
        </w:rPr>
        <w:t>身份证复印件（正反两面）粘贴处：</w:t>
      </w:r>
    </w:p>
    <w:tbl>
      <w:tblPr>
        <w:tblStyle w:val="32"/>
        <w:tblpPr w:leftFromText="180" w:rightFromText="180" w:vertAnchor="text" w:horzAnchor="margin" w:tblpXSpec="left" w:tblpY="307"/>
        <w:tblW w:w="42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230"/>
      </w:tblGrid>
      <w:tr w14:paraId="0FFAA6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65" w:hRule="atLeast"/>
        </w:trPr>
        <w:tc>
          <w:tcPr>
            <w:tcW w:w="4230" w:type="dxa"/>
            <w:noWrap w:val="0"/>
            <w:vAlign w:val="center"/>
          </w:tcPr>
          <w:p w14:paraId="126CFE25">
            <w:pPr>
              <w:keepNext w:val="0"/>
              <w:keepLines w:val="0"/>
              <w:pageBreakBefore w:val="0"/>
              <w:widowControl w:val="0"/>
              <w:spacing w:line="500" w:lineRule="exact"/>
              <w:ind w:left="-525" w:right="-525" w:firstLine="560"/>
              <w:jc w:val="center"/>
              <w:rPr>
                <w:rFonts w:ascii="宋体" w:hAnsi="宋体"/>
                <w:color w:val="auto"/>
                <w:sz w:val="28"/>
                <w:szCs w:val="20"/>
                <w:highlight w:val="none"/>
              </w:rPr>
            </w:pPr>
            <w:r>
              <w:rPr>
                <w:rFonts w:hint="eastAsia" w:ascii="宋体" w:hAnsi="宋体"/>
                <w:color w:val="auto"/>
                <w:highlight w:val="none"/>
              </w:rPr>
              <w:t>正面</w:t>
            </w:r>
          </w:p>
        </w:tc>
      </w:tr>
    </w:tbl>
    <w:tbl>
      <w:tblPr>
        <w:tblStyle w:val="32"/>
        <w:tblpPr w:leftFromText="180" w:rightFromText="180" w:vertAnchor="text" w:horzAnchor="page" w:tblpX="6360" w:tblpY="291"/>
        <w:tblW w:w="42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230"/>
      </w:tblGrid>
      <w:tr w14:paraId="6A7D11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65" w:hRule="atLeast"/>
        </w:trPr>
        <w:tc>
          <w:tcPr>
            <w:tcW w:w="4230" w:type="dxa"/>
            <w:noWrap w:val="0"/>
            <w:vAlign w:val="center"/>
          </w:tcPr>
          <w:p w14:paraId="632B26F1">
            <w:pPr>
              <w:keepNext w:val="0"/>
              <w:keepLines w:val="0"/>
              <w:pageBreakBefore w:val="0"/>
              <w:widowControl w:val="0"/>
              <w:spacing w:line="500" w:lineRule="exact"/>
              <w:ind w:left="-525" w:right="-525" w:firstLine="560"/>
              <w:jc w:val="center"/>
              <w:rPr>
                <w:rFonts w:ascii="宋体" w:hAnsi="宋体"/>
                <w:color w:val="auto"/>
                <w:sz w:val="28"/>
                <w:szCs w:val="20"/>
                <w:highlight w:val="none"/>
              </w:rPr>
            </w:pPr>
            <w:r>
              <w:rPr>
                <w:rFonts w:hint="eastAsia" w:ascii="宋体" w:hAnsi="宋体"/>
                <w:color w:val="auto"/>
                <w:highlight w:val="none"/>
                <w:lang w:val="en-US" w:eastAsia="zh-CN"/>
              </w:rPr>
              <w:t>反</w:t>
            </w:r>
            <w:r>
              <w:rPr>
                <w:rFonts w:hint="eastAsia" w:ascii="宋体" w:hAnsi="宋体"/>
                <w:color w:val="auto"/>
                <w:highlight w:val="none"/>
              </w:rPr>
              <w:t>面</w:t>
            </w:r>
          </w:p>
        </w:tc>
      </w:tr>
    </w:tbl>
    <w:p w14:paraId="4F62B923">
      <w:pPr>
        <w:pStyle w:val="27"/>
        <w:spacing w:beforeAutospacing="0" w:afterAutospacing="0"/>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36B1457">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BFB39EB">
      <w:pPr>
        <w:pStyle w:val="27"/>
        <w:spacing w:beforeAutospacing="0" w:afterAutospacing="0"/>
        <w:jc w:val="both"/>
        <w:rPr>
          <w:rFonts w:hint="eastAsia" w:ascii="宋体" w:hAnsi="宋体" w:eastAsia="宋体" w:cs="宋体"/>
          <w:color w:val="auto"/>
          <w:highlight w:val="none"/>
        </w:rPr>
      </w:pPr>
    </w:p>
    <w:p w14:paraId="7F371F6C">
      <w:pPr>
        <w:pStyle w:val="2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621C06F">
      <w:pPr>
        <w:pStyle w:val="27"/>
        <w:keepNext/>
        <w:keepLines/>
        <w:spacing w:before="260" w:beforeAutospacing="0" w:after="260" w:afterAutospacing="0" w:line="415" w:lineRule="auto"/>
        <w:ind w:firstLine="120"/>
        <w:jc w:val="center"/>
        <w:rPr>
          <w:rFonts w:hint="eastAsia" w:ascii="宋体" w:hAnsi="宋体" w:eastAsia="宋体" w:cs="宋体"/>
          <w:color w:val="auto"/>
          <w:highlight w:val="none"/>
        </w:rPr>
      </w:pPr>
      <w:r>
        <w:rPr>
          <w:rFonts w:hint="eastAsia" w:ascii="宋体" w:hAnsi="宋体" w:eastAsia="宋体" w:cs="宋体"/>
          <w:b/>
          <w:color w:val="auto"/>
          <w:highlight w:val="none"/>
        </w:rPr>
        <w:t> </w:t>
      </w:r>
      <w:r>
        <w:rPr>
          <w:rFonts w:hint="eastAsia" w:ascii="宋体" w:hAnsi="宋体" w:eastAsia="宋体" w:cs="宋体"/>
          <w:b/>
          <w:i/>
          <w:color w:val="auto"/>
          <w:sz w:val="32"/>
          <w:szCs w:val="32"/>
          <w:highlight w:val="none"/>
          <w:u w:val="single"/>
          <w:lang w:val="en-US" w:eastAsia="zh-CN"/>
        </w:rPr>
        <w:t>十</w:t>
      </w:r>
      <w:r>
        <w:rPr>
          <w:rFonts w:hint="eastAsia" w:ascii="宋体" w:hAnsi="宋体" w:eastAsia="宋体" w:cs="宋体"/>
          <w:b/>
          <w:i/>
          <w:color w:val="auto"/>
          <w:sz w:val="32"/>
          <w:szCs w:val="32"/>
          <w:highlight w:val="none"/>
          <w:u w:val="single"/>
        </w:rPr>
        <w:t>、投标函</w:t>
      </w:r>
    </w:p>
    <w:p w14:paraId="2173B084">
      <w:pPr>
        <w:pStyle w:val="27"/>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致：盐城市</w:t>
      </w:r>
      <w:r>
        <w:rPr>
          <w:rFonts w:hint="eastAsia" w:ascii="宋体" w:hAnsi="宋体" w:eastAsia="宋体" w:cs="宋体"/>
          <w:color w:val="auto"/>
          <w:highlight w:val="none"/>
          <w:lang w:val="en-US" w:eastAsia="zh-CN"/>
        </w:rPr>
        <w:t>路灯管理处</w:t>
      </w:r>
    </w:p>
    <w:p w14:paraId="33D39E29">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31201B71">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776482AC">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459234D6">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2220A9F0">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E33361A">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59CC77F6">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5A7075BB">
      <w:pPr>
        <w:pStyle w:val="27"/>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01BB3AC7">
      <w:pPr>
        <w:pStyle w:val="27"/>
        <w:spacing w:beforeAutospacing="0" w:afterAutospacing="0" w:line="0" w:lineRule="atLeast"/>
        <w:ind w:left="425"/>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322894E8">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10E1A67B">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4C658289">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6F5B5C14">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3DEFEEDD">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43EFAC8F">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2C07B270">
      <w:pPr>
        <w:pStyle w:val="27"/>
        <w:spacing w:beforeAutospacing="0" w:afterAutospacing="0" w:line="0" w:lineRule="atLeast"/>
        <w:ind w:left="420" w:firstLine="120"/>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73C5D15D">
      <w:pPr>
        <w:pStyle w:val="27"/>
        <w:spacing w:beforeAutospacing="0" w:afterAutospacing="0" w:line="0" w:lineRule="atLeast"/>
        <w:ind w:firstLine="12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97FD9D1">
      <w:pPr>
        <w:pStyle w:val="27"/>
        <w:spacing w:beforeAutospacing="0" w:afterAutospacing="0" w:line="0" w:lineRule="atLeast"/>
        <w:ind w:firstLine="12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275A4AA">
      <w:pPr>
        <w:pStyle w:val="27"/>
        <w:spacing w:beforeAutospacing="0" w:afterAutospacing="0" w:line="0" w:lineRule="atLeast"/>
        <w:ind w:firstLine="12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F20582">
      <w:pPr>
        <w:pStyle w:val="27"/>
        <w:spacing w:beforeAutospacing="0" w:afterAutospacing="0" w:line="0" w:lineRule="atLeast"/>
        <w:ind w:firstLine="12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17D6441">
      <w:pPr>
        <w:pStyle w:val="27"/>
        <w:spacing w:beforeAutospacing="0" w:afterAutospacing="0" w:line="0" w:lineRule="atLeast"/>
        <w:ind w:firstLine="120"/>
        <w:jc w:val="center"/>
        <w:rPr>
          <w:rFonts w:hint="eastAsia" w:ascii="宋体" w:hAnsi="宋体" w:eastAsia="宋体" w:cs="宋体"/>
          <w:color w:val="auto"/>
          <w:highlight w:val="none"/>
        </w:rPr>
      </w:pPr>
    </w:p>
    <w:p w14:paraId="28E88AAF">
      <w:pPr>
        <w:pStyle w:val="27"/>
        <w:spacing w:beforeAutospacing="0" w:afterAutospacing="0" w:line="0" w:lineRule="atLeast"/>
        <w:ind w:firstLine="120"/>
        <w:jc w:val="center"/>
        <w:rPr>
          <w:rFonts w:hint="eastAsia" w:ascii="宋体" w:hAnsi="宋体" w:eastAsia="宋体" w:cs="宋体"/>
          <w:color w:val="auto"/>
          <w:highlight w:val="none"/>
        </w:rPr>
      </w:pPr>
    </w:p>
    <w:p w14:paraId="07E36FA9">
      <w:pPr>
        <w:pStyle w:val="27"/>
        <w:spacing w:beforeAutospacing="0" w:afterAutospacing="0" w:line="0" w:lineRule="atLeast"/>
        <w:ind w:firstLine="120"/>
        <w:jc w:val="center"/>
        <w:rPr>
          <w:rFonts w:hint="eastAsia" w:ascii="宋体" w:hAnsi="宋体" w:eastAsia="宋体" w:cs="宋体"/>
          <w:color w:val="auto"/>
          <w:highlight w:val="none"/>
        </w:rPr>
      </w:pPr>
    </w:p>
    <w:p w14:paraId="1450D8AF">
      <w:pPr>
        <w:pStyle w:val="27"/>
        <w:spacing w:beforeAutospacing="0" w:afterAutospacing="0" w:line="0" w:lineRule="atLeast"/>
        <w:ind w:firstLine="120"/>
        <w:jc w:val="center"/>
        <w:rPr>
          <w:rFonts w:hint="eastAsia" w:ascii="宋体" w:hAnsi="宋体" w:eastAsia="宋体" w:cs="宋体"/>
          <w:color w:val="auto"/>
          <w:highlight w:val="none"/>
        </w:rPr>
      </w:pPr>
    </w:p>
    <w:p w14:paraId="668559EA">
      <w:pPr>
        <w:pStyle w:val="27"/>
        <w:spacing w:beforeAutospacing="0" w:afterAutospacing="0" w:line="0" w:lineRule="atLeast"/>
        <w:ind w:firstLine="120"/>
        <w:jc w:val="center"/>
        <w:rPr>
          <w:rFonts w:hint="eastAsia" w:ascii="宋体" w:hAnsi="宋体" w:eastAsia="宋体" w:cs="宋体"/>
          <w:color w:val="auto"/>
          <w:highlight w:val="none"/>
        </w:rPr>
      </w:pPr>
    </w:p>
    <w:p w14:paraId="32EC2969">
      <w:pPr>
        <w:pStyle w:val="27"/>
        <w:spacing w:beforeAutospacing="0" w:afterAutospacing="0" w:line="0" w:lineRule="atLeast"/>
        <w:ind w:firstLine="120"/>
        <w:jc w:val="center"/>
        <w:rPr>
          <w:rFonts w:hint="eastAsia" w:ascii="宋体" w:hAnsi="宋体" w:eastAsia="宋体" w:cs="宋体"/>
          <w:color w:val="auto"/>
          <w:highlight w:val="none"/>
        </w:rPr>
      </w:pPr>
    </w:p>
    <w:p w14:paraId="7FE3FC87">
      <w:pPr>
        <w:pStyle w:val="27"/>
        <w:spacing w:beforeAutospacing="0" w:afterAutospacing="0" w:line="0" w:lineRule="atLeast"/>
        <w:ind w:firstLine="120"/>
        <w:jc w:val="center"/>
        <w:rPr>
          <w:rFonts w:hint="eastAsia" w:ascii="宋体" w:hAnsi="宋体" w:eastAsia="宋体" w:cs="宋体"/>
          <w:color w:val="auto"/>
          <w:highlight w:val="none"/>
        </w:rPr>
      </w:pPr>
    </w:p>
    <w:p w14:paraId="01DE61E6">
      <w:pPr>
        <w:pStyle w:val="27"/>
        <w:spacing w:beforeAutospacing="0" w:afterAutospacing="0" w:line="0" w:lineRule="atLeast"/>
        <w:ind w:firstLine="120"/>
        <w:jc w:val="center"/>
        <w:rPr>
          <w:rFonts w:hint="eastAsia" w:ascii="宋体" w:hAnsi="宋体" w:eastAsia="宋体" w:cs="宋体"/>
          <w:color w:val="auto"/>
          <w:highlight w:val="none"/>
        </w:rPr>
      </w:pPr>
    </w:p>
    <w:p w14:paraId="456A1F11">
      <w:pPr>
        <w:pStyle w:val="27"/>
        <w:spacing w:beforeAutospacing="0" w:afterAutospacing="0" w:line="0" w:lineRule="atLeast"/>
        <w:ind w:firstLine="120"/>
        <w:jc w:val="center"/>
        <w:rPr>
          <w:rFonts w:hint="eastAsia" w:ascii="宋体" w:hAnsi="宋体" w:eastAsia="宋体" w:cs="宋体"/>
          <w:color w:val="auto"/>
          <w:highlight w:val="none"/>
        </w:rPr>
      </w:pPr>
    </w:p>
    <w:p w14:paraId="636F7D6E">
      <w:pPr>
        <w:pStyle w:val="27"/>
        <w:spacing w:beforeAutospacing="0" w:afterAutospacing="0" w:line="0" w:lineRule="atLeast"/>
        <w:ind w:firstLine="120"/>
        <w:jc w:val="center"/>
        <w:rPr>
          <w:rFonts w:hint="eastAsia" w:ascii="宋体" w:hAnsi="宋体" w:eastAsia="宋体" w:cs="宋体"/>
          <w:color w:val="auto"/>
          <w:highlight w:val="none"/>
        </w:rPr>
      </w:pPr>
    </w:p>
    <w:p w14:paraId="0608D8DF">
      <w:pPr>
        <w:pStyle w:val="27"/>
        <w:spacing w:beforeAutospacing="0" w:afterAutospacing="0" w:line="0" w:lineRule="atLeast"/>
        <w:ind w:firstLine="120"/>
        <w:jc w:val="center"/>
        <w:rPr>
          <w:rFonts w:hint="eastAsia" w:ascii="宋体" w:hAnsi="宋体" w:eastAsia="宋体" w:cs="宋体"/>
          <w:color w:val="auto"/>
          <w:highlight w:val="none"/>
        </w:rPr>
      </w:pPr>
    </w:p>
    <w:p w14:paraId="600900E5">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clear="all"/>
      </w:r>
    </w:p>
    <w:p w14:paraId="7450FC00">
      <w:pPr>
        <w:pStyle w:val="27"/>
        <w:spacing w:beforeAutospacing="0" w:afterAutospacing="0" w:line="0" w:lineRule="atLeast"/>
        <w:ind w:firstLine="161"/>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十一</w:t>
      </w:r>
      <w:r>
        <w:rPr>
          <w:rFonts w:hint="eastAsia" w:ascii="宋体" w:hAnsi="宋体" w:eastAsia="宋体" w:cs="宋体"/>
          <w:b/>
          <w:color w:val="auto"/>
          <w:sz w:val="32"/>
          <w:szCs w:val="32"/>
          <w:highlight w:val="none"/>
        </w:rPr>
        <w:t>、中小企业声明函（</w:t>
      </w:r>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rPr>
        <w:t>）</w:t>
      </w:r>
    </w:p>
    <w:p w14:paraId="73D10D22">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盐城市路灯管理处</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E285EDD">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p>
    <w:p w14:paraId="0F54773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行业；制造商为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（中型企业、小型企业、微型企业）；</w:t>
      </w:r>
    </w:p>
    <w:p w14:paraId="0B9477E4">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4974384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683415AD">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104B0F2B">
      <w:pPr>
        <w:pStyle w:val="27"/>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77093E">
      <w:pPr>
        <w:pStyle w:val="27"/>
        <w:spacing w:beforeAutospacing="0" w:afterAutospacing="0" w:line="0" w:lineRule="atLeast"/>
        <w:ind w:right="180" w:firstLine="12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64CE1B0E">
      <w:pPr>
        <w:pStyle w:val="27"/>
        <w:spacing w:beforeAutospacing="0" w:afterAutospacing="0" w:line="0" w:lineRule="atLeast"/>
        <w:ind w:right="480" w:firstLine="12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565ADF50">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901C33C">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6F646EA">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7C2D57B1">
      <w:pPr>
        <w:pStyle w:val="27"/>
        <w:spacing w:beforeAutospacing="0" w:afterAutospacing="0" w:line="0" w:lineRule="atLeast"/>
        <w:ind w:firstLine="161"/>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、残疾人福利性单位声明函</w:t>
      </w:r>
    </w:p>
    <w:p w14:paraId="359E395E">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项目采购活动提供本单位制造的货物，或者提供其他残疾人福利性单位制造的货物（不包括使用非残疾人福利性单位注册商标的货物）。</w:t>
      </w:r>
    </w:p>
    <w:p w14:paraId="3FCB227F">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67F007E7">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B7CBCBA">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63A52385">
      <w:pPr>
        <w:pStyle w:val="27"/>
        <w:spacing w:beforeAutospacing="0" w:afterAutospacing="0" w:line="0" w:lineRule="atLeast"/>
        <w:ind w:firstLine="1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0272F11">
      <w:pPr>
        <w:pStyle w:val="27"/>
        <w:tabs>
          <w:tab w:val="left" w:pos="4864"/>
        </w:tabs>
        <w:spacing w:beforeAutospacing="0" w:afterAutospacing="0" w:line="0" w:lineRule="atLeast"/>
        <w:ind w:right="1560" w:firstLine="150"/>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供应商全称（加盖CA电子公章）：</w:t>
      </w:r>
    </w:p>
    <w:p w14:paraId="37DDF502">
      <w:pPr>
        <w:pStyle w:val="27"/>
        <w:tabs>
          <w:tab w:val="left" w:pos="4864"/>
        </w:tabs>
        <w:spacing w:beforeAutospacing="0" w:afterAutospacing="0" w:line="0" w:lineRule="atLeast"/>
        <w:ind w:right="1560" w:firstLine="12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77F60D3E">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6F0EE1">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6D461C6">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A5BB4D7">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F594445">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AD23608">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C59EC61">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1DC3FE9">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8DC1015">
      <w:pPr>
        <w:pStyle w:val="27"/>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D76DF17">
      <w:pPr>
        <w:pStyle w:val="27"/>
        <w:spacing w:beforeAutospacing="0" w:afterAutospacing="0" w:line="0" w:lineRule="atLeast"/>
        <w:jc w:val="center"/>
        <w:rPr>
          <w:rFonts w:hint="eastAsia" w:ascii="宋体" w:hAnsi="宋体" w:eastAsia="宋体" w:cs="宋体"/>
          <w:color w:val="auto"/>
          <w:highlight w:val="none"/>
        </w:rPr>
      </w:pPr>
    </w:p>
    <w:p w14:paraId="41E5B1C4">
      <w:pPr>
        <w:pStyle w:val="27"/>
        <w:spacing w:beforeAutospacing="0" w:afterAutospacing="0" w:line="0" w:lineRule="atLeast"/>
        <w:jc w:val="center"/>
        <w:rPr>
          <w:rFonts w:hint="eastAsia" w:ascii="宋体" w:hAnsi="宋体" w:eastAsia="宋体" w:cs="宋体"/>
          <w:color w:val="auto"/>
          <w:highlight w:val="none"/>
        </w:rPr>
      </w:pPr>
    </w:p>
    <w:p w14:paraId="7EF7C5F5">
      <w:pPr>
        <w:pStyle w:val="27"/>
        <w:spacing w:beforeAutospacing="0" w:afterAutospacing="0" w:line="0" w:lineRule="atLeast"/>
        <w:jc w:val="center"/>
        <w:rPr>
          <w:rFonts w:hint="eastAsia" w:ascii="宋体" w:hAnsi="宋体" w:eastAsia="宋体" w:cs="宋体"/>
          <w:color w:val="auto"/>
          <w:highlight w:val="none"/>
        </w:rPr>
      </w:pPr>
    </w:p>
    <w:p w14:paraId="3562BFF7">
      <w:pPr>
        <w:pStyle w:val="27"/>
        <w:spacing w:beforeAutospacing="0" w:afterAutospacing="0" w:line="0" w:lineRule="atLeast"/>
        <w:jc w:val="center"/>
        <w:rPr>
          <w:rFonts w:hint="eastAsia" w:ascii="宋体" w:hAnsi="宋体" w:eastAsia="宋体" w:cs="宋体"/>
          <w:color w:val="auto"/>
          <w:highlight w:val="none"/>
        </w:rPr>
      </w:pPr>
    </w:p>
    <w:p w14:paraId="2E12C808">
      <w:pPr>
        <w:pStyle w:val="27"/>
        <w:spacing w:beforeAutospacing="0" w:afterAutospacing="0" w:line="0" w:lineRule="atLeast"/>
        <w:jc w:val="center"/>
        <w:rPr>
          <w:rFonts w:hint="eastAsia" w:ascii="宋体" w:hAnsi="宋体" w:eastAsia="宋体" w:cs="宋体"/>
          <w:color w:val="auto"/>
          <w:highlight w:val="none"/>
        </w:rPr>
      </w:pPr>
    </w:p>
    <w:p w14:paraId="4950EA04">
      <w:pPr>
        <w:pStyle w:val="27"/>
        <w:spacing w:beforeAutospacing="0" w:afterAutospacing="0" w:line="0" w:lineRule="atLeast"/>
        <w:jc w:val="center"/>
        <w:rPr>
          <w:rFonts w:hint="eastAsia" w:ascii="宋体" w:hAnsi="宋体" w:eastAsia="宋体" w:cs="宋体"/>
          <w:color w:val="auto"/>
          <w:highlight w:val="none"/>
        </w:rPr>
      </w:pPr>
    </w:p>
    <w:p w14:paraId="5BAA75BA">
      <w:pPr>
        <w:pStyle w:val="27"/>
        <w:spacing w:beforeAutospacing="0" w:afterAutospacing="0" w:line="0" w:lineRule="atLeast"/>
        <w:jc w:val="center"/>
        <w:rPr>
          <w:rFonts w:hint="eastAsia" w:ascii="宋体" w:hAnsi="宋体" w:eastAsia="宋体" w:cs="宋体"/>
          <w:color w:val="auto"/>
          <w:highlight w:val="none"/>
        </w:rPr>
      </w:pPr>
    </w:p>
    <w:p w14:paraId="5FBE2E8B">
      <w:pPr>
        <w:pStyle w:val="27"/>
        <w:spacing w:beforeAutospacing="0" w:afterAutospacing="0" w:line="0" w:lineRule="atLeast"/>
        <w:jc w:val="center"/>
        <w:rPr>
          <w:rFonts w:hint="eastAsia" w:ascii="宋体" w:hAnsi="宋体" w:eastAsia="宋体" w:cs="宋体"/>
          <w:color w:val="auto"/>
          <w:highlight w:val="none"/>
        </w:rPr>
      </w:pPr>
    </w:p>
    <w:p w14:paraId="6EA99C1F">
      <w:pPr>
        <w:pStyle w:val="27"/>
        <w:spacing w:beforeAutospacing="0" w:afterAutospacing="0" w:line="0" w:lineRule="atLeast"/>
        <w:jc w:val="center"/>
        <w:rPr>
          <w:rFonts w:hint="eastAsia" w:ascii="宋体" w:hAnsi="宋体" w:eastAsia="宋体" w:cs="宋体"/>
          <w:color w:val="auto"/>
          <w:highlight w:val="none"/>
        </w:rPr>
      </w:pPr>
    </w:p>
    <w:p w14:paraId="69271200">
      <w:pPr>
        <w:pStyle w:val="27"/>
        <w:spacing w:beforeAutospacing="0" w:afterAutospacing="0" w:line="0" w:lineRule="atLeast"/>
        <w:jc w:val="center"/>
        <w:rPr>
          <w:rFonts w:hint="eastAsia" w:ascii="宋体" w:hAnsi="宋体" w:eastAsia="宋体" w:cs="宋体"/>
          <w:color w:val="auto"/>
          <w:highlight w:val="none"/>
        </w:rPr>
      </w:pPr>
    </w:p>
    <w:p w14:paraId="7EE45D84">
      <w:pPr>
        <w:pStyle w:val="27"/>
        <w:spacing w:beforeAutospacing="0" w:afterAutospacing="0" w:line="0" w:lineRule="atLeast"/>
        <w:jc w:val="center"/>
        <w:rPr>
          <w:rFonts w:hint="eastAsia" w:ascii="宋体" w:hAnsi="宋体" w:eastAsia="宋体" w:cs="宋体"/>
          <w:color w:val="auto"/>
          <w:highlight w:val="none"/>
        </w:rPr>
      </w:pPr>
    </w:p>
    <w:p w14:paraId="1F436026">
      <w:pPr>
        <w:pStyle w:val="27"/>
        <w:spacing w:beforeAutospacing="0" w:afterAutospacing="0" w:line="0" w:lineRule="atLeast"/>
        <w:jc w:val="center"/>
        <w:rPr>
          <w:rFonts w:hint="eastAsia" w:ascii="宋体" w:hAnsi="宋体" w:eastAsia="宋体" w:cs="宋体"/>
          <w:color w:val="auto"/>
          <w:highlight w:val="none"/>
        </w:rPr>
      </w:pPr>
    </w:p>
    <w:p w14:paraId="44C77654">
      <w:pPr>
        <w:pStyle w:val="27"/>
        <w:spacing w:beforeAutospacing="0" w:afterAutospacing="0" w:line="0" w:lineRule="atLeast"/>
        <w:jc w:val="center"/>
        <w:rPr>
          <w:rFonts w:hint="eastAsia" w:ascii="宋体" w:hAnsi="宋体" w:eastAsia="宋体" w:cs="宋体"/>
          <w:color w:val="auto"/>
          <w:highlight w:val="none"/>
        </w:rPr>
      </w:pPr>
    </w:p>
    <w:p w14:paraId="2898354F">
      <w:pPr>
        <w:pStyle w:val="27"/>
        <w:spacing w:beforeAutospacing="0" w:afterAutospacing="0" w:line="0" w:lineRule="atLeast"/>
        <w:jc w:val="center"/>
        <w:rPr>
          <w:rFonts w:hint="eastAsia" w:ascii="宋体" w:hAnsi="宋体" w:eastAsia="宋体" w:cs="宋体"/>
          <w:color w:val="auto"/>
          <w:highlight w:val="none"/>
        </w:rPr>
      </w:pPr>
    </w:p>
    <w:p w14:paraId="4D08E4AA">
      <w:pPr>
        <w:pStyle w:val="27"/>
        <w:spacing w:beforeAutospacing="0" w:afterAutospacing="0" w:line="0" w:lineRule="atLeast"/>
        <w:jc w:val="center"/>
        <w:rPr>
          <w:rFonts w:hint="eastAsia" w:ascii="宋体" w:hAnsi="宋体" w:eastAsia="宋体" w:cs="宋体"/>
          <w:color w:val="auto"/>
          <w:highlight w:val="none"/>
        </w:rPr>
      </w:pPr>
    </w:p>
    <w:p w14:paraId="2993EB09">
      <w:pPr>
        <w:pStyle w:val="27"/>
        <w:spacing w:beforeAutospacing="0" w:afterAutospacing="0" w:line="0" w:lineRule="atLeast"/>
        <w:jc w:val="center"/>
        <w:rPr>
          <w:rFonts w:hint="eastAsia" w:ascii="宋体" w:hAnsi="宋体" w:eastAsia="宋体" w:cs="宋体"/>
          <w:color w:val="auto"/>
          <w:highlight w:val="none"/>
        </w:rPr>
      </w:pPr>
    </w:p>
    <w:p w14:paraId="534A89D1">
      <w:pPr>
        <w:pStyle w:val="27"/>
        <w:spacing w:beforeAutospacing="0" w:afterAutospacing="0" w:line="0" w:lineRule="atLeast"/>
        <w:jc w:val="center"/>
        <w:rPr>
          <w:rFonts w:hint="eastAsia" w:ascii="宋体" w:hAnsi="宋体" w:eastAsia="宋体" w:cs="宋体"/>
          <w:color w:val="auto"/>
          <w:highlight w:val="none"/>
        </w:rPr>
      </w:pPr>
    </w:p>
    <w:p w14:paraId="29B732DF">
      <w:pPr>
        <w:pStyle w:val="27"/>
        <w:spacing w:beforeAutospacing="0" w:afterAutospacing="0" w:line="0" w:lineRule="atLeast"/>
        <w:jc w:val="center"/>
        <w:rPr>
          <w:rFonts w:hint="eastAsia" w:ascii="宋体" w:hAnsi="宋体" w:eastAsia="宋体" w:cs="宋体"/>
          <w:color w:val="auto"/>
          <w:highlight w:val="none"/>
        </w:rPr>
      </w:pPr>
    </w:p>
    <w:p w14:paraId="11B4F0C3">
      <w:pPr>
        <w:pStyle w:val="27"/>
        <w:spacing w:beforeAutospacing="0" w:afterAutospacing="0" w:line="0" w:lineRule="atLeast"/>
        <w:jc w:val="center"/>
        <w:rPr>
          <w:rFonts w:hint="eastAsia" w:ascii="宋体" w:hAnsi="宋体" w:eastAsia="宋体" w:cs="宋体"/>
          <w:color w:val="auto"/>
          <w:highlight w:val="none"/>
        </w:rPr>
      </w:pPr>
    </w:p>
    <w:p w14:paraId="30341073">
      <w:pPr>
        <w:pStyle w:val="27"/>
        <w:spacing w:beforeAutospacing="0" w:afterAutospacing="0"/>
        <w:jc w:val="center"/>
        <w:rPr>
          <w:rFonts w:hint="eastAsia" w:ascii="宋体" w:hAnsi="宋体" w:eastAsia="宋体" w:cs="宋体"/>
          <w:color w:val="auto"/>
          <w:highlight w:val="none"/>
        </w:rPr>
      </w:pPr>
    </w:p>
    <w:p w14:paraId="6772DDC5">
      <w:pPr>
        <w:spacing w:line="400" w:lineRule="exact"/>
        <w:jc w:val="center"/>
        <w:rPr>
          <w:rFonts w:hint="eastAsia" w:ascii="黑体" w:hAnsi="宋体" w:eastAsia="黑体" w:cs="黑体"/>
          <w:iCs/>
          <w:color w:val="000000"/>
          <w:sz w:val="32"/>
          <w:szCs w:val="32"/>
          <w:highlight w:val="none"/>
          <w:lang w:val="en-US" w:eastAsia="zh-CN" w:bidi="ar-SA"/>
        </w:rPr>
      </w:pPr>
      <w:r>
        <w:rPr>
          <w:rFonts w:hint="eastAsia" w:ascii="宋体" w:hAnsi="宋体" w:eastAsia="宋体" w:cs="宋体"/>
          <w:color w:val="auto"/>
          <w:highlight w:val="none"/>
        </w:rPr>
        <w:t> </w:t>
      </w:r>
      <w:r>
        <w:rPr>
          <w:rFonts w:hint="eastAsia" w:ascii="黑体" w:hAnsi="宋体" w:eastAsia="黑体" w:cs="黑体"/>
          <w:iCs/>
          <w:color w:val="000000"/>
          <w:sz w:val="32"/>
          <w:szCs w:val="32"/>
          <w:highlight w:val="none"/>
        </w:rPr>
        <w:t>十</w:t>
      </w:r>
      <w:r>
        <w:rPr>
          <w:rFonts w:hint="eastAsia" w:ascii="黑体" w:hAnsi="宋体" w:eastAsia="黑体" w:cs="黑体"/>
          <w:iCs/>
          <w:color w:val="000000"/>
          <w:sz w:val="32"/>
          <w:szCs w:val="32"/>
          <w:highlight w:val="none"/>
          <w:lang w:val="en-US" w:eastAsia="zh-CN"/>
        </w:rPr>
        <w:t>三</w:t>
      </w:r>
      <w:r>
        <w:rPr>
          <w:rFonts w:hint="eastAsia" w:ascii="黑体" w:hAnsi="宋体" w:eastAsia="黑体" w:cs="黑体"/>
          <w:iCs/>
          <w:color w:val="000000"/>
          <w:sz w:val="32"/>
          <w:szCs w:val="32"/>
          <w:highlight w:val="none"/>
        </w:rPr>
        <w:t>、</w:t>
      </w:r>
      <w:r>
        <w:rPr>
          <w:rFonts w:hint="eastAsia" w:ascii="黑体" w:hAnsi="宋体" w:eastAsia="黑体" w:cs="黑体"/>
          <w:iCs/>
          <w:color w:val="000000"/>
          <w:sz w:val="32"/>
          <w:szCs w:val="32"/>
          <w:highlight w:val="none"/>
          <w:lang w:val="en-US" w:eastAsia="zh-CN" w:bidi="ar-SA"/>
        </w:rPr>
        <w:t>开标一览表</w:t>
      </w:r>
    </w:p>
    <w:p w14:paraId="440E481E">
      <w:pPr>
        <w:pStyle w:val="27"/>
        <w:spacing w:beforeAutospacing="0" w:afterAutospacing="0"/>
        <w:jc w:val="right"/>
        <w:rPr>
          <w:color w:val="auto"/>
          <w:highlight w:val="none"/>
        </w:rPr>
      </w:pPr>
    </w:p>
    <w:p w14:paraId="0B21AC87">
      <w:pPr>
        <w:pStyle w:val="27"/>
        <w:spacing w:beforeAutospacing="0" w:afterAutospacing="0"/>
        <w:jc w:val="right"/>
        <w:rPr>
          <w:color w:val="auto"/>
          <w:highlight w:val="none"/>
        </w:rPr>
      </w:pPr>
    </w:p>
    <w:p w14:paraId="60E6E85D">
      <w:pPr>
        <w:pStyle w:val="27"/>
        <w:keepNext w:val="0"/>
        <w:keepLines w:val="0"/>
        <w:widowControl/>
        <w:suppressLineNumbers w:val="0"/>
        <w:rPr>
          <w:highlight w:val="none"/>
        </w:rPr>
      </w:pPr>
      <w:r>
        <w:rPr>
          <w:highlight w:val="none"/>
        </w:rPr>
        <w:t>项目名称 : 项目名称</w:t>
      </w:r>
    </w:p>
    <w:p w14:paraId="44CFB13E">
      <w:pPr>
        <w:pStyle w:val="27"/>
        <w:keepNext w:val="0"/>
        <w:keepLines w:val="0"/>
        <w:widowControl/>
        <w:suppressLineNumbers w:val="0"/>
        <w:rPr>
          <w:highlight w:val="none"/>
        </w:rPr>
      </w:pPr>
      <w:r>
        <w:rPr>
          <w:highlight w:val="none"/>
        </w:rPr>
        <w:t>项目编号 : 项目编号</w:t>
      </w:r>
    </w:p>
    <w:tbl>
      <w:tblPr>
        <w:tblStyle w:val="3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1708"/>
        <w:gridCol w:w="4963"/>
        <w:gridCol w:w="1708"/>
      </w:tblGrid>
      <w:tr w14:paraId="0390C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658" w:hRule="atLeast"/>
          <w:tblCellSpacing w:w="15" w:type="dxa"/>
        </w:trPr>
        <w:tc>
          <w:tcPr>
            <w:tcW w:w="1663" w:type="dxa"/>
            <w:shd w:val="clear" w:color="auto" w:fill="auto"/>
            <w:noWrap w:val="0"/>
            <w:vAlign w:val="center"/>
          </w:tcPr>
          <w:p w14:paraId="76209D2C">
            <w:pPr>
              <w:pStyle w:val="27"/>
              <w:keepNext w:val="0"/>
              <w:keepLines w:val="0"/>
              <w:widowControl/>
              <w:suppressLineNumbers w:val="0"/>
              <w:rPr>
                <w:highlight w:val="none"/>
              </w:rPr>
            </w:pPr>
            <w:r>
              <w:rPr>
                <w:highlight w:val="none"/>
                <w:shd w:val="clear" w:color="auto" w:fill="FFFFFF"/>
              </w:rPr>
              <w:t>投标人名称</w:t>
            </w:r>
          </w:p>
        </w:tc>
        <w:tc>
          <w:tcPr>
            <w:tcW w:w="4933" w:type="dxa"/>
            <w:shd w:val="clear" w:color="auto" w:fill="auto"/>
            <w:noWrap w:val="0"/>
            <w:vAlign w:val="center"/>
          </w:tcPr>
          <w:p w14:paraId="08A6F0BD">
            <w:pPr>
              <w:pStyle w:val="27"/>
              <w:keepNext w:val="0"/>
              <w:keepLines w:val="0"/>
              <w:widowControl/>
              <w:suppressLineNumbers w:val="0"/>
              <w:rPr>
                <w:highlight w:val="none"/>
              </w:rPr>
            </w:pPr>
            <w:r>
              <w:rPr>
                <w:highlight w:val="none"/>
              </w:rPr>
              <w:t>优惠率（小写）</w:t>
            </w:r>
          </w:p>
        </w:tc>
        <w:tc>
          <w:tcPr>
            <w:tcW w:w="1663" w:type="dxa"/>
            <w:shd w:val="clear" w:color="auto" w:fill="auto"/>
            <w:noWrap w:val="0"/>
            <w:vAlign w:val="center"/>
          </w:tcPr>
          <w:p w14:paraId="39821181">
            <w:pPr>
              <w:pStyle w:val="27"/>
              <w:keepNext w:val="0"/>
              <w:keepLines w:val="0"/>
              <w:widowControl/>
              <w:suppressLineNumbers w:val="0"/>
              <w:rPr>
                <w:highlight w:val="none"/>
              </w:rPr>
            </w:pPr>
            <w:r>
              <w:rPr>
                <w:highlight w:val="none"/>
              </w:rPr>
              <w:t>备注</w:t>
            </w:r>
          </w:p>
        </w:tc>
      </w:tr>
      <w:tr w14:paraId="6949E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658" w:hRule="atLeast"/>
          <w:tblCellSpacing w:w="15" w:type="dxa"/>
        </w:trPr>
        <w:tc>
          <w:tcPr>
            <w:tcW w:w="1663" w:type="dxa"/>
            <w:shd w:val="clear" w:color="auto" w:fill="auto"/>
            <w:noWrap w:val="0"/>
            <w:vAlign w:val="center"/>
          </w:tcPr>
          <w:p w14:paraId="3D1D5097">
            <w:pPr>
              <w:pStyle w:val="27"/>
              <w:keepNext w:val="0"/>
              <w:keepLines w:val="0"/>
              <w:widowControl/>
              <w:suppressLineNumbers w:val="0"/>
              <w:rPr>
                <w:highlight w:val="none"/>
              </w:rPr>
            </w:pPr>
            <w:r>
              <w:rPr>
                <w:highlight w:val="none"/>
              </w:rPr>
              <w:t>供应商名称</w:t>
            </w:r>
          </w:p>
        </w:tc>
        <w:tc>
          <w:tcPr>
            <w:tcW w:w="4933" w:type="dxa"/>
            <w:shd w:val="clear" w:color="auto" w:fill="auto"/>
            <w:noWrap w:val="0"/>
            <w:vAlign w:val="center"/>
          </w:tcPr>
          <w:p w14:paraId="423C9D3B">
            <w:pPr>
              <w:pStyle w:val="27"/>
              <w:keepNext w:val="0"/>
              <w:keepLines w:val="0"/>
              <w:widowControl/>
              <w:suppressLineNumbers w:val="0"/>
              <w:rPr>
                <w:highlight w:val="none"/>
              </w:rPr>
            </w:pPr>
            <w:r>
              <w:rPr>
                <w:highlight w:val="none"/>
              </w:rPr>
              <w:t> % </w:t>
            </w:r>
          </w:p>
        </w:tc>
        <w:tc>
          <w:tcPr>
            <w:tcW w:w="1663" w:type="dxa"/>
            <w:shd w:val="clear" w:color="auto" w:fill="auto"/>
            <w:noWrap w:val="0"/>
            <w:vAlign w:val="center"/>
          </w:tcPr>
          <w:p w14:paraId="25E8E142">
            <w:pPr>
              <w:pStyle w:val="27"/>
              <w:keepNext w:val="0"/>
              <w:keepLines w:val="0"/>
              <w:widowControl/>
              <w:suppressLineNumbers w:val="0"/>
              <w:rPr>
                <w:highlight w:val="none"/>
              </w:rPr>
            </w:pPr>
            <w:r>
              <w:rPr>
                <w:highlight w:val="none"/>
              </w:rPr>
              <w:t> </w:t>
            </w:r>
          </w:p>
        </w:tc>
      </w:tr>
    </w:tbl>
    <w:p w14:paraId="70136082">
      <w:pPr>
        <w:keepNext w:val="0"/>
        <w:keepLines w:val="0"/>
        <w:pageBreakBefore w:val="0"/>
        <w:widowControl w:val="0"/>
        <w:spacing w:beforeAutospacing="0" w:afterAutospacing="0" w:line="360" w:lineRule="auto"/>
        <w:ind w:firstLine="482"/>
        <w:rPr>
          <w:rFonts w:hint="eastAsia" w:ascii="宋体" w:hAnsi="宋体" w:eastAsia="宋体" w:cs="宋体"/>
          <w:b/>
          <w:bCs/>
          <w:sz w:val="24"/>
          <w:szCs w:val="24"/>
          <w:highlight w:val="none"/>
          <w:lang w:val="en-US" w:eastAsia="zh-CN"/>
        </w:rPr>
      </w:pPr>
    </w:p>
    <w:p w14:paraId="008EC94A">
      <w:pPr>
        <w:keepNext w:val="0"/>
        <w:keepLines w:val="0"/>
        <w:pageBreakBefore w:val="0"/>
        <w:widowControl w:val="0"/>
        <w:spacing w:beforeAutospacing="0" w:afterAutospacing="0" w:line="360" w:lineRule="auto"/>
        <w:ind w:firstLine="482"/>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注：1、因软件系统模块设置原因，开标一览表中优惠率视为优惠报价，优惠率</w:t>
      </w:r>
      <w:r>
        <w:rPr>
          <w:rFonts w:hint="eastAsia" w:ascii="宋体" w:hAnsi="宋体" w:eastAsia="宋体" w:cs="宋体"/>
          <w:b/>
          <w:bCs/>
          <w:sz w:val="24"/>
          <w:szCs w:val="24"/>
          <w:highlight w:val="none"/>
        </w:rPr>
        <w:t>精确到小数点后两位。</w:t>
      </w:r>
      <w:r>
        <w:rPr>
          <w:rFonts w:hint="eastAsia" w:ascii="宋体" w:hAnsi="宋体" w:eastAsia="宋体" w:cs="宋体"/>
          <w:b/>
          <w:bCs/>
          <w:sz w:val="24"/>
          <w:szCs w:val="24"/>
          <w:highlight w:val="none"/>
          <w:lang w:val="en-US" w:eastAsia="zh-CN"/>
        </w:rPr>
        <w:t>例如优惠率=0.55%，则视为优惠报价=0.0055元/Kwh</w:t>
      </w:r>
      <w:r>
        <w:rPr>
          <w:rFonts w:hint="eastAsia" w:ascii="宋体" w:hAnsi="宋体" w:eastAsia="宋体" w:cs="宋体"/>
          <w:b/>
          <w:bCs/>
          <w:sz w:val="24"/>
          <w:szCs w:val="24"/>
          <w:highlight w:val="none"/>
          <w:lang w:eastAsia="zh-CN"/>
        </w:rPr>
        <w:t>。</w:t>
      </w:r>
    </w:p>
    <w:p w14:paraId="51280275">
      <w:pPr>
        <w:pStyle w:val="27"/>
        <w:keepNext w:val="0"/>
        <w:keepLines w:val="0"/>
        <w:pageBreakBefore w:val="0"/>
        <w:widowControl/>
        <w:suppressLineNumbers w:val="0"/>
        <w:spacing w:beforeAutospacing="0" w:afterAutospacing="0" w:line="360" w:lineRule="auto"/>
        <w:ind w:firstLine="482"/>
        <w:jc w:val="left"/>
        <w:rPr>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结算：</w:t>
      </w:r>
      <w:r>
        <w:rPr>
          <w:rFonts w:hint="eastAsia" w:ascii="宋体" w:hAnsi="宋体" w:eastAsia="宋体" w:cs="宋体"/>
          <w:b/>
          <w:bCs/>
          <w:sz w:val="24"/>
          <w:szCs w:val="24"/>
          <w:highlight w:val="none"/>
          <w:lang w:val="en-US" w:eastAsia="zh-CN"/>
        </w:rPr>
        <w:t>2026</w:t>
      </w:r>
      <w:r>
        <w:rPr>
          <w:rFonts w:hint="eastAsia" w:ascii="宋体" w:hAnsi="宋体" w:eastAsia="宋体" w:cs="宋体"/>
          <w:b/>
          <w:bCs/>
          <w:sz w:val="24"/>
          <w:szCs w:val="24"/>
          <w:highlight w:val="none"/>
        </w:rPr>
        <w:t>年度长协交易均价</w:t>
      </w:r>
      <w:r>
        <w:rPr>
          <w:rFonts w:hint="eastAsia" w:ascii="宋体" w:hAnsi="宋体" w:eastAsia="宋体" w:cs="宋体"/>
          <w:b/>
          <w:bCs/>
          <w:sz w:val="24"/>
          <w:szCs w:val="24"/>
          <w:highlight w:val="none"/>
          <w:lang w:val="en-US" w:eastAsia="zh-CN"/>
        </w:rPr>
        <w:t>减去优惠报价</w:t>
      </w:r>
      <w:r>
        <w:rPr>
          <w:rFonts w:hint="eastAsia" w:ascii="宋体" w:hAnsi="宋体" w:eastAsia="宋体" w:cs="宋体"/>
          <w:b/>
          <w:bCs/>
          <w:sz w:val="24"/>
          <w:szCs w:val="24"/>
          <w:highlight w:val="none"/>
        </w:rPr>
        <w:t>。</w:t>
      </w:r>
    </w:p>
    <w:p w14:paraId="2A2F992E">
      <w:pPr>
        <w:pStyle w:val="27"/>
        <w:keepNext w:val="0"/>
        <w:keepLines w:val="0"/>
        <w:widowControl/>
        <w:suppressLineNumbers w:val="0"/>
        <w:jc w:val="left"/>
        <w:rPr>
          <w:highlight w:val="none"/>
        </w:rPr>
      </w:pPr>
    </w:p>
    <w:p w14:paraId="76206BC4">
      <w:pPr>
        <w:pStyle w:val="27"/>
        <w:keepNext w:val="0"/>
        <w:keepLines w:val="0"/>
        <w:widowControl/>
        <w:suppressLineNumbers w:val="0"/>
        <w:jc w:val="left"/>
        <w:rPr>
          <w:highlight w:val="none"/>
        </w:rPr>
      </w:pPr>
      <w:r>
        <w:rPr>
          <w:highlight w:val="none"/>
        </w:rPr>
        <w:t>投标人公章：                               （电子签章）</w:t>
      </w:r>
    </w:p>
    <w:p w14:paraId="2E8FDBC1">
      <w:pPr>
        <w:pStyle w:val="27"/>
        <w:spacing w:beforeAutospacing="0" w:afterAutospacing="0"/>
        <w:ind w:firstLine="5040"/>
        <w:jc w:val="both"/>
        <w:rPr>
          <w:rFonts w:hint="eastAsia"/>
          <w:color w:val="auto"/>
          <w:highlight w:val="none"/>
        </w:rPr>
      </w:pPr>
      <w:r>
        <w:rPr>
          <w:rFonts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日</w:t>
      </w:r>
    </w:p>
    <w:p w14:paraId="7893326D">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FAA58A">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AEB4B98">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47E135F">
      <w:pPr>
        <w:pStyle w:val="27"/>
        <w:spacing w:beforeAutospacing="0" w:afterAutospacing="0"/>
        <w:jc w:val="both"/>
        <w:rPr>
          <w:rFonts w:hint="eastAsia" w:ascii="宋体" w:hAnsi="宋体" w:eastAsia="宋体" w:cs="宋体"/>
          <w:color w:val="auto"/>
          <w:highlight w:val="none"/>
        </w:rPr>
      </w:pPr>
    </w:p>
    <w:p w14:paraId="64D56FC9">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72572B">
      <w:pPr>
        <w:pStyle w:val="27"/>
        <w:spacing w:beforeAutospacing="0" w:afterAutospacing="0"/>
        <w:jc w:val="both"/>
        <w:rPr>
          <w:rFonts w:hint="eastAsia" w:ascii="宋体" w:hAnsi="宋体" w:eastAsia="宋体" w:cs="宋体"/>
          <w:color w:val="auto"/>
          <w:highlight w:val="none"/>
        </w:rPr>
      </w:pPr>
    </w:p>
    <w:p w14:paraId="161B0A60">
      <w:pPr>
        <w:pStyle w:val="27"/>
        <w:spacing w:beforeAutospacing="0" w:afterAutospacing="0"/>
        <w:jc w:val="both"/>
        <w:rPr>
          <w:rFonts w:hint="eastAsia" w:ascii="宋体" w:hAnsi="宋体" w:eastAsia="宋体" w:cs="宋体"/>
          <w:color w:val="auto"/>
          <w:highlight w:val="none"/>
        </w:rPr>
      </w:pPr>
    </w:p>
    <w:p w14:paraId="0711C976">
      <w:pPr>
        <w:pStyle w:val="27"/>
        <w:spacing w:beforeAutospacing="0" w:afterAutospacing="0"/>
        <w:jc w:val="both"/>
        <w:rPr>
          <w:rFonts w:hint="eastAsia" w:ascii="宋体" w:hAnsi="宋体" w:eastAsia="宋体" w:cs="宋体"/>
          <w:color w:val="auto"/>
          <w:highlight w:val="none"/>
        </w:rPr>
      </w:pPr>
    </w:p>
    <w:p w14:paraId="0695BF21">
      <w:pPr>
        <w:pStyle w:val="27"/>
        <w:spacing w:beforeAutospacing="0" w:afterAutospacing="0"/>
        <w:jc w:val="both"/>
        <w:rPr>
          <w:rFonts w:hint="eastAsia" w:ascii="宋体" w:hAnsi="宋体" w:eastAsia="宋体" w:cs="宋体"/>
          <w:color w:val="auto"/>
          <w:highlight w:val="none"/>
        </w:rPr>
      </w:pPr>
    </w:p>
    <w:p w14:paraId="3496CBF8">
      <w:pPr>
        <w:pStyle w:val="27"/>
        <w:spacing w:beforeAutospacing="0" w:afterAutospacing="0"/>
        <w:jc w:val="both"/>
        <w:rPr>
          <w:rFonts w:hint="eastAsia" w:ascii="宋体" w:hAnsi="宋体" w:eastAsia="宋体" w:cs="宋体"/>
          <w:color w:val="auto"/>
          <w:highlight w:val="none"/>
        </w:rPr>
      </w:pPr>
    </w:p>
    <w:p w14:paraId="59DA3754">
      <w:pPr>
        <w:pStyle w:val="27"/>
        <w:spacing w:beforeAutospacing="0" w:afterAutospacing="0"/>
        <w:jc w:val="both"/>
        <w:rPr>
          <w:rFonts w:hint="eastAsia" w:ascii="宋体" w:hAnsi="宋体" w:eastAsia="宋体" w:cs="宋体"/>
          <w:color w:val="auto"/>
          <w:highlight w:val="none"/>
        </w:rPr>
      </w:pPr>
    </w:p>
    <w:p w14:paraId="6F3199ED">
      <w:pPr>
        <w:pStyle w:val="27"/>
        <w:spacing w:beforeAutospacing="0" w:afterAutospacing="0"/>
        <w:jc w:val="both"/>
        <w:rPr>
          <w:rFonts w:hint="eastAsia" w:ascii="宋体" w:hAnsi="宋体" w:eastAsia="宋体" w:cs="宋体"/>
          <w:color w:val="auto"/>
          <w:highlight w:val="none"/>
        </w:rPr>
      </w:pPr>
    </w:p>
    <w:p w14:paraId="787EF48D">
      <w:pPr>
        <w:pStyle w:val="27"/>
        <w:spacing w:beforeAutospacing="0" w:afterAutospacing="0"/>
        <w:jc w:val="both"/>
        <w:rPr>
          <w:rFonts w:hint="eastAsia" w:ascii="宋体" w:hAnsi="宋体" w:eastAsia="宋体" w:cs="宋体"/>
          <w:color w:val="auto"/>
          <w:highlight w:val="none"/>
        </w:rPr>
      </w:pPr>
    </w:p>
    <w:p w14:paraId="42A095AB">
      <w:pPr>
        <w:pStyle w:val="27"/>
        <w:spacing w:beforeAutospacing="0" w:afterAutospacing="0"/>
        <w:jc w:val="both"/>
        <w:rPr>
          <w:rFonts w:hint="eastAsia" w:ascii="宋体" w:hAnsi="宋体" w:eastAsia="宋体" w:cs="宋体"/>
          <w:color w:val="auto"/>
          <w:highlight w:val="none"/>
        </w:rPr>
      </w:pPr>
    </w:p>
    <w:p w14:paraId="1BC69D44">
      <w:pPr>
        <w:pStyle w:val="27"/>
        <w:spacing w:beforeAutospacing="0" w:afterAutospacing="0"/>
        <w:jc w:val="both"/>
        <w:rPr>
          <w:rFonts w:hint="eastAsia" w:ascii="宋体" w:hAnsi="宋体" w:eastAsia="宋体" w:cs="宋体"/>
          <w:color w:val="auto"/>
          <w:highlight w:val="none"/>
        </w:rPr>
      </w:pPr>
    </w:p>
    <w:p w14:paraId="1B8A8E84">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386B2E">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055C6D8">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0A974807">
      <w:pPr>
        <w:pStyle w:val="27"/>
        <w:spacing w:beforeAutospacing="0" w:afterAutospacing="0"/>
        <w:ind w:firstLine="161"/>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rPr>
        <w:t>、技术要求响应及偏离表</w:t>
      </w:r>
    </w:p>
    <w:tbl>
      <w:tblPr>
        <w:tblStyle w:val="3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438807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979A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1161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F997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4C6A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8C106">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2B18894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7E384CD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62AD7B">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D8779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BEF793">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4557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102B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11D00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E8A3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894BD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FEF3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D88F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C1E95">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86D96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5835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5F98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26E7F">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20F5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74D6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C247A6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9650E">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08AF83">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D8B4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3758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4A1F0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80071B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7D29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C972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42C6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470D3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93A4B">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34D1C4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12916E">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5A43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CD87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1D5F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54C5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702A0C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9BBC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7373F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7606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8BA8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C3BD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44D729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D782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7CD0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1968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E3EC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CCAE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79AA91DD">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70C863E">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4447BA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F9BC3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09048B">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4B761AC">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14A5985">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E5867D">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D395B9">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02EC51">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B06B8B">
      <w:pPr>
        <w:pStyle w:val="27"/>
        <w:spacing w:beforeAutospacing="0" w:afterAutospacing="0"/>
        <w:jc w:val="both"/>
        <w:rPr>
          <w:rFonts w:hint="eastAsia" w:ascii="宋体" w:hAnsi="宋体" w:eastAsia="宋体" w:cs="宋体"/>
          <w:color w:val="auto"/>
          <w:highlight w:val="none"/>
        </w:rPr>
      </w:pPr>
    </w:p>
    <w:p w14:paraId="037F8E6A">
      <w:pPr>
        <w:pStyle w:val="27"/>
        <w:spacing w:beforeAutospacing="0" w:afterAutospacing="0"/>
        <w:jc w:val="both"/>
        <w:rPr>
          <w:rFonts w:hint="eastAsia" w:ascii="宋体" w:hAnsi="宋体" w:eastAsia="宋体" w:cs="宋体"/>
          <w:color w:val="auto"/>
          <w:highlight w:val="none"/>
        </w:rPr>
      </w:pPr>
    </w:p>
    <w:p w14:paraId="54DE433A">
      <w:pPr>
        <w:pStyle w:val="27"/>
        <w:spacing w:beforeAutospacing="0" w:afterAutospacing="0"/>
        <w:jc w:val="both"/>
        <w:rPr>
          <w:rFonts w:hint="eastAsia" w:ascii="宋体" w:hAnsi="宋体" w:eastAsia="宋体" w:cs="宋体"/>
          <w:color w:val="auto"/>
          <w:highlight w:val="none"/>
        </w:rPr>
      </w:pPr>
    </w:p>
    <w:p w14:paraId="3136062F">
      <w:pPr>
        <w:pStyle w:val="27"/>
        <w:spacing w:beforeAutospacing="0" w:afterAutospacing="0"/>
        <w:jc w:val="both"/>
        <w:rPr>
          <w:rFonts w:hint="eastAsia" w:ascii="宋体" w:hAnsi="宋体" w:eastAsia="宋体" w:cs="宋体"/>
          <w:color w:val="auto"/>
          <w:highlight w:val="none"/>
        </w:rPr>
      </w:pPr>
    </w:p>
    <w:p w14:paraId="05233DAB">
      <w:pPr>
        <w:pStyle w:val="27"/>
        <w:spacing w:beforeAutospacing="0" w:afterAutospacing="0"/>
        <w:jc w:val="both"/>
        <w:rPr>
          <w:rFonts w:hint="eastAsia" w:ascii="宋体" w:hAnsi="宋体" w:eastAsia="宋体" w:cs="宋体"/>
          <w:color w:val="auto"/>
          <w:highlight w:val="none"/>
        </w:rPr>
      </w:pPr>
    </w:p>
    <w:p w14:paraId="46E81254">
      <w:pPr>
        <w:pStyle w:val="27"/>
        <w:spacing w:beforeAutospacing="0" w:afterAutospacing="0"/>
        <w:jc w:val="both"/>
        <w:rPr>
          <w:rFonts w:hint="eastAsia" w:ascii="宋体" w:hAnsi="宋体" w:eastAsia="宋体" w:cs="宋体"/>
          <w:color w:val="auto"/>
          <w:highlight w:val="none"/>
        </w:rPr>
      </w:pPr>
    </w:p>
    <w:p w14:paraId="6A04037A">
      <w:pPr>
        <w:pStyle w:val="27"/>
        <w:spacing w:beforeAutospacing="0" w:afterAutospacing="0"/>
        <w:jc w:val="both"/>
        <w:rPr>
          <w:rFonts w:hint="eastAsia" w:ascii="宋体" w:hAnsi="宋体" w:eastAsia="宋体" w:cs="宋体"/>
          <w:color w:val="auto"/>
          <w:highlight w:val="none"/>
        </w:rPr>
      </w:pPr>
    </w:p>
    <w:p w14:paraId="08B61FAD">
      <w:pPr>
        <w:pStyle w:val="27"/>
        <w:spacing w:beforeAutospacing="0" w:afterAutospacing="0"/>
        <w:jc w:val="both"/>
        <w:rPr>
          <w:rFonts w:hint="eastAsia" w:ascii="宋体" w:hAnsi="宋体" w:eastAsia="宋体" w:cs="宋体"/>
          <w:color w:val="auto"/>
          <w:highlight w:val="none"/>
        </w:rPr>
      </w:pPr>
    </w:p>
    <w:p w14:paraId="3165DE6E">
      <w:pPr>
        <w:pStyle w:val="27"/>
        <w:spacing w:beforeAutospacing="0" w:afterAutospacing="0"/>
        <w:jc w:val="both"/>
        <w:rPr>
          <w:rFonts w:hint="eastAsia" w:ascii="宋体" w:hAnsi="宋体" w:eastAsia="宋体" w:cs="宋体"/>
          <w:color w:val="auto"/>
          <w:highlight w:val="none"/>
        </w:rPr>
      </w:pPr>
    </w:p>
    <w:p w14:paraId="02D740FB">
      <w:pPr>
        <w:pStyle w:val="27"/>
        <w:spacing w:beforeAutospacing="0" w:afterAutospacing="0"/>
        <w:jc w:val="both"/>
        <w:rPr>
          <w:rFonts w:hint="eastAsia" w:ascii="宋体" w:hAnsi="宋体" w:eastAsia="宋体" w:cs="宋体"/>
          <w:color w:val="auto"/>
          <w:highlight w:val="none"/>
        </w:rPr>
      </w:pPr>
    </w:p>
    <w:p w14:paraId="59B44181">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77364A">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1DFCB44">
      <w:pPr>
        <w:pStyle w:val="27"/>
        <w:spacing w:beforeAutospacing="0" w:afterAutospacing="0"/>
        <w:jc w:val="both"/>
        <w:rPr>
          <w:rFonts w:hint="eastAsia" w:ascii="宋体" w:hAnsi="宋体" w:eastAsia="宋体" w:cs="宋体"/>
          <w:color w:val="auto"/>
          <w:highlight w:val="none"/>
        </w:rPr>
      </w:pPr>
    </w:p>
    <w:p w14:paraId="78AD5309">
      <w:pPr>
        <w:pStyle w:val="27"/>
        <w:spacing w:beforeAutospacing="0" w:afterAutospacing="0"/>
        <w:ind w:firstLine="161"/>
        <w:jc w:val="center"/>
        <w:rPr>
          <w:rFonts w:hint="eastAsia" w:ascii="宋体" w:hAnsi="宋体" w:eastAsia="宋体" w:cs="宋体"/>
          <w:b/>
          <w:color w:val="auto"/>
          <w:sz w:val="32"/>
          <w:szCs w:val="32"/>
          <w:highlight w:val="none"/>
        </w:rPr>
      </w:pPr>
      <w:bookmarkStart w:id="160" w:name="_Hlt26955054"/>
    </w:p>
    <w:p w14:paraId="3D43A753">
      <w:pPr>
        <w:pStyle w:val="27"/>
        <w:spacing w:beforeAutospacing="0" w:afterAutospacing="0"/>
        <w:ind w:firstLine="161"/>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、商务要求响应及偏离表</w:t>
      </w:r>
    </w:p>
    <w:tbl>
      <w:tblPr>
        <w:tblStyle w:val="3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17A51F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C1B98E">
            <w:pPr>
              <w:pStyle w:val="27"/>
              <w:spacing w:beforeAutospacing="0" w:afterAutospacing="0"/>
              <w:jc w:val="center"/>
              <w:rPr>
                <w:rFonts w:hint="eastAsia" w:ascii="宋体" w:hAnsi="宋体" w:eastAsia="宋体" w:cs="宋体"/>
                <w:color w:val="auto"/>
                <w:highlight w:val="none"/>
              </w:rPr>
            </w:pPr>
            <w:bookmarkStart w:id="161" w:name="_Hlt26782999"/>
            <w:bookmarkStart w:id="162" w:name="_Hlt26671343"/>
            <w:bookmarkStart w:id="163" w:name="_Hlt26671372"/>
            <w:bookmarkStart w:id="164" w:name="_Hlt24879081"/>
            <w:bookmarkStart w:id="165" w:name="_Hlt26955056"/>
            <w:bookmarkStart w:id="166" w:name="_Hlt26580838"/>
            <w:bookmarkStart w:id="167" w:name="_Hlt26609391"/>
            <w:bookmarkStart w:id="168" w:name="_Hlt26955064"/>
            <w:r>
              <w:rPr>
                <w:rFonts w:hint="eastAsia" w:ascii="宋体" w:hAnsi="宋体" w:eastAsia="宋体" w:cs="宋体"/>
                <w:color w:val="auto"/>
                <w:highlight w:val="none"/>
              </w:rPr>
              <w:t>序号</w:t>
            </w:r>
            <w:bookmarkEnd w:id="161"/>
            <w:bookmarkEnd w:id="162"/>
            <w:bookmarkEnd w:id="163"/>
            <w:bookmarkEnd w:id="164"/>
            <w:bookmarkEnd w:id="165"/>
            <w:bookmarkEnd w:id="166"/>
            <w:bookmarkEnd w:id="167"/>
            <w:bookmarkEnd w:id="168"/>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6442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690B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ED58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0408B">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53D0630F">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204805B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D034F">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9060E3">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FB22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83AB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365C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AE3798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1552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B27B0B">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DC74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98B54">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9A32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C557E6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F64E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D225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8609B5">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456B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71A3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106BD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B560E">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D1C0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FE15F">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6AA0D">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DC4FD2">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6B28A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142E9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2C213">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3F1E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8F786">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E74C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C5F08B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16CE9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1E5BA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334F0">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B734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C7C35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92C6B7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C570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71A7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52C5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1D2CF">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7A8FF5">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3290E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497F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2AE5C">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FAA87">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DE8A5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5B274A">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6449C28C">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055846C1">
      <w:pPr>
        <w:pStyle w:val="27"/>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813E29">
      <w:pPr>
        <w:pStyle w:val="27"/>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0A71BFD">
      <w:pPr>
        <w:pStyle w:val="27"/>
        <w:spacing w:beforeAutospacing="0" w:afterAutospacing="0"/>
        <w:jc w:val="center"/>
        <w:rPr>
          <w:rFonts w:hint="eastAsia" w:ascii="宋体" w:hAnsi="宋体" w:eastAsia="宋体" w:cs="宋体"/>
          <w:color w:val="auto"/>
          <w:highlight w:val="none"/>
        </w:rPr>
      </w:pPr>
      <w:bookmarkStart w:id="169" w:name="_Hlt26671374"/>
      <w:bookmarkStart w:id="170" w:name="_格式2__法定代表人授权书"/>
      <w:bookmarkStart w:id="171" w:name="_Hlt26609389"/>
      <w:bookmarkStart w:id="172" w:name="_Hlt26955066"/>
      <w:bookmarkStart w:id="173" w:name="_Toc462564146"/>
      <w:r>
        <w:rPr>
          <w:rFonts w:hint="eastAsia" w:ascii="宋体" w:hAnsi="宋体" w:eastAsia="宋体" w:cs="宋体"/>
          <w:color w:val="auto"/>
          <w:highlight w:val="none"/>
        </w:rPr>
        <w:t> </w:t>
      </w:r>
    </w:p>
    <w:p w14:paraId="28FE7A86">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4DB2C36">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23D88F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9D7D039">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75F681">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526A399">
      <w:pPr>
        <w:pStyle w:val="27"/>
        <w:spacing w:beforeAutospacing="0" w:afterAutospacing="0"/>
        <w:jc w:val="center"/>
        <w:rPr>
          <w:rFonts w:hint="eastAsia" w:ascii="宋体" w:hAnsi="宋体" w:eastAsia="宋体" w:cs="宋体"/>
          <w:color w:val="auto"/>
          <w:highlight w:val="none"/>
        </w:rPr>
      </w:pPr>
    </w:p>
    <w:p w14:paraId="1E9B0A70">
      <w:pPr>
        <w:pStyle w:val="27"/>
        <w:spacing w:beforeAutospacing="0" w:afterAutospacing="0"/>
        <w:jc w:val="center"/>
        <w:rPr>
          <w:rFonts w:hint="eastAsia" w:ascii="宋体" w:hAnsi="宋体" w:eastAsia="宋体" w:cs="宋体"/>
          <w:color w:val="auto"/>
          <w:highlight w:val="none"/>
        </w:rPr>
      </w:pPr>
    </w:p>
    <w:p w14:paraId="7585AF3F">
      <w:pPr>
        <w:pStyle w:val="27"/>
        <w:spacing w:beforeAutospacing="0" w:afterAutospacing="0"/>
        <w:jc w:val="center"/>
        <w:rPr>
          <w:rFonts w:hint="eastAsia" w:ascii="宋体" w:hAnsi="宋体" w:eastAsia="宋体" w:cs="宋体"/>
          <w:color w:val="auto"/>
          <w:highlight w:val="none"/>
        </w:rPr>
      </w:pPr>
    </w:p>
    <w:p w14:paraId="0EBDC540">
      <w:pPr>
        <w:pStyle w:val="27"/>
        <w:spacing w:beforeAutospacing="0" w:afterAutospacing="0"/>
        <w:jc w:val="center"/>
        <w:rPr>
          <w:rFonts w:hint="eastAsia" w:ascii="宋体" w:hAnsi="宋体" w:eastAsia="宋体" w:cs="宋体"/>
          <w:color w:val="auto"/>
          <w:highlight w:val="none"/>
        </w:rPr>
      </w:pPr>
    </w:p>
    <w:p w14:paraId="0116FB44">
      <w:pPr>
        <w:pStyle w:val="27"/>
        <w:spacing w:beforeAutospacing="0" w:afterAutospacing="0"/>
        <w:jc w:val="center"/>
        <w:rPr>
          <w:rFonts w:hint="eastAsia" w:ascii="宋体" w:hAnsi="宋体" w:eastAsia="宋体" w:cs="宋体"/>
          <w:color w:val="auto"/>
          <w:highlight w:val="none"/>
        </w:rPr>
      </w:pPr>
    </w:p>
    <w:p w14:paraId="39A1D964">
      <w:pPr>
        <w:pStyle w:val="27"/>
        <w:spacing w:beforeAutospacing="0" w:afterAutospacing="0"/>
        <w:jc w:val="center"/>
        <w:rPr>
          <w:rFonts w:hint="eastAsia" w:ascii="宋体" w:hAnsi="宋体" w:eastAsia="宋体" w:cs="宋体"/>
          <w:color w:val="auto"/>
          <w:highlight w:val="none"/>
        </w:rPr>
      </w:pPr>
    </w:p>
    <w:p w14:paraId="1BAFC42B">
      <w:pPr>
        <w:pStyle w:val="27"/>
        <w:spacing w:beforeAutospacing="0" w:afterAutospacing="0"/>
        <w:jc w:val="center"/>
        <w:rPr>
          <w:rFonts w:hint="eastAsia" w:ascii="宋体" w:hAnsi="宋体" w:eastAsia="宋体" w:cs="宋体"/>
          <w:color w:val="auto"/>
          <w:highlight w:val="none"/>
        </w:rPr>
      </w:pPr>
    </w:p>
    <w:p w14:paraId="7FB456D8">
      <w:pPr>
        <w:pStyle w:val="27"/>
        <w:spacing w:beforeAutospacing="0" w:afterAutospacing="0"/>
        <w:jc w:val="center"/>
        <w:rPr>
          <w:rFonts w:hint="eastAsia" w:ascii="宋体" w:hAnsi="宋体" w:eastAsia="宋体" w:cs="宋体"/>
          <w:color w:val="auto"/>
          <w:highlight w:val="none"/>
        </w:rPr>
      </w:pPr>
    </w:p>
    <w:p w14:paraId="4D1E3DF8">
      <w:pPr>
        <w:pStyle w:val="27"/>
        <w:spacing w:beforeAutospacing="0" w:afterAutospacing="0"/>
        <w:jc w:val="center"/>
        <w:rPr>
          <w:rFonts w:hint="eastAsia" w:ascii="宋体" w:hAnsi="宋体" w:eastAsia="宋体" w:cs="宋体"/>
          <w:color w:val="auto"/>
          <w:highlight w:val="none"/>
        </w:rPr>
      </w:pPr>
    </w:p>
    <w:p w14:paraId="4A1F7718">
      <w:pPr>
        <w:pStyle w:val="2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42CA04">
      <w:pPr>
        <w:pStyle w:val="27"/>
        <w:spacing w:beforeAutospacing="0" w:afterAutospacing="0"/>
        <w:jc w:val="center"/>
        <w:rPr>
          <w:rFonts w:hint="eastAsia" w:ascii="宋体" w:hAnsi="宋体" w:eastAsia="宋体" w:cs="宋体"/>
          <w:color w:val="auto"/>
          <w:highlight w:val="none"/>
        </w:rPr>
      </w:pPr>
    </w:p>
    <w:p w14:paraId="2C355EB4">
      <w:pPr>
        <w:pStyle w:val="27"/>
        <w:spacing w:beforeAutospacing="0" w:afterAutospacing="0"/>
        <w:rPr>
          <w:rFonts w:hint="eastAsia" w:ascii="宋体" w:hAnsi="宋体" w:eastAsia="宋体" w:cs="宋体"/>
          <w:color w:val="auto"/>
          <w:highlight w:val="none"/>
          <w:lang w:val="en-US" w:eastAsia="zh-CN"/>
        </w:rPr>
      </w:pPr>
    </w:p>
    <w:p w14:paraId="512AC25F">
      <w:pPr>
        <w:pStyle w:val="27"/>
        <w:spacing w:beforeAutospacing="0" w:afterAutospacing="0"/>
        <w:rPr>
          <w:rFonts w:hint="eastAsia" w:ascii="宋体" w:hAnsi="宋体" w:eastAsia="宋体" w:cs="宋体"/>
          <w:color w:val="auto"/>
          <w:highlight w:val="none"/>
          <w:lang w:val="en-US" w:eastAsia="zh-CN"/>
        </w:rPr>
      </w:pPr>
    </w:p>
    <w:p w14:paraId="59CE0997">
      <w:pPr>
        <w:spacing w:line="360" w:lineRule="auto"/>
        <w:jc w:val="center"/>
        <w:rPr>
          <w:rFonts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十六、服务</w:t>
      </w:r>
      <w:r>
        <w:rPr>
          <w:rFonts w:hint="eastAsia" w:ascii="宋体" w:hAnsi="宋体" w:eastAsia="宋体" w:cs="Times New Roman"/>
          <w:b/>
          <w:bCs/>
          <w:color w:val="auto"/>
          <w:sz w:val="28"/>
          <w:szCs w:val="28"/>
          <w:highlight w:val="none"/>
        </w:rPr>
        <w:t>承诺书</w:t>
      </w:r>
    </w:p>
    <w:p w14:paraId="5E4EA92C">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u w:val="single"/>
        </w:rPr>
        <w:t>盐城</w:t>
      </w:r>
      <w:r>
        <w:rPr>
          <w:rFonts w:hint="eastAsia" w:ascii="宋体" w:hAnsi="宋体" w:eastAsia="宋体" w:cs="Times New Roman"/>
          <w:color w:val="auto"/>
          <w:sz w:val="24"/>
          <w:highlight w:val="none"/>
          <w:u w:val="single"/>
        </w:rPr>
        <w:t>市路灯管理处</w:t>
      </w:r>
      <w:r>
        <w:rPr>
          <w:rFonts w:hint="eastAsia" w:ascii="宋体" w:hAnsi="宋体" w:eastAsia="宋体" w:cs="Times New Roman"/>
          <w:color w:val="auto"/>
          <w:sz w:val="24"/>
          <w:highlight w:val="none"/>
        </w:rPr>
        <w:t>：</w:t>
      </w:r>
    </w:p>
    <w:p w14:paraId="5654EAA0">
      <w:pPr>
        <w:spacing w:line="360" w:lineRule="auto"/>
        <w:ind w:firstLine="555"/>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我司在此承诺：</w:t>
      </w:r>
    </w:p>
    <w:p w14:paraId="5F47D256">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1、若因我方原因，导致合同无法执行。我方将赔偿你方违约金，违约金金额=|市场化成交电价-直接交易基准价|×剩余未执行合约电量。</w:t>
      </w:r>
    </w:p>
    <w:p w14:paraId="1D958A69">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2、若在合同周期内，我方未按双方约定给你方进行结算，我方将按照双方约定的结算电费和实际结算电费的差额部分的3倍赔偿给你方。</w:t>
      </w:r>
    </w:p>
    <w:p w14:paraId="0986B4E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3、我方将为你方提供同区域同类、同量用电企业的优惠价格及优质服务。</w:t>
      </w:r>
    </w:p>
    <w:p w14:paraId="698A791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4、我方将为你方提供用电特性分析、用能质量分析、综合节能管理咨询等服务，提高你方用能管理水平。</w:t>
      </w:r>
    </w:p>
    <w:p w14:paraId="65ACC43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5、我方将为你方提供真实准确的有关电力直接交易的相关信息及资料，协助你方申请办理电力交易有关手续。</w:t>
      </w:r>
    </w:p>
    <w:p w14:paraId="363819F0">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6、我方承诺你方本项目的全部电量均享受不高于现行市场化电价浮动上限值，当你方实际用电量超出预计电量时，我方保证超用部分电量供应，且超用部分仍享受上述电价。</w:t>
      </w:r>
    </w:p>
    <w:p w14:paraId="1C1C3DA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7、我方承诺招标用电量偏差考核费用全部由我方承担。</w:t>
      </w:r>
    </w:p>
    <w:p w14:paraId="0745D3ED">
      <w:pPr>
        <w:spacing w:line="360" w:lineRule="auto"/>
        <w:ind w:firstLine="555"/>
        <w:rPr>
          <w:rFonts w:ascii="宋体" w:hAnsi="宋体" w:eastAsia="宋体" w:cs="Times New Roman"/>
          <w:color w:val="auto"/>
          <w:sz w:val="24"/>
          <w:highlight w:val="none"/>
        </w:rPr>
      </w:pPr>
    </w:p>
    <w:p w14:paraId="1A04F2F6">
      <w:pPr>
        <w:tabs>
          <w:tab w:val="left" w:pos="851"/>
        </w:tabs>
        <w:spacing w:line="360" w:lineRule="auto"/>
        <w:ind w:left="420"/>
        <w:jc w:val="right"/>
        <w:rPr>
          <w:rFonts w:ascii="宋体" w:hAnsi="宋体" w:eastAsia="宋体" w:cs="宋体"/>
          <w:color w:val="auto"/>
          <w:sz w:val="24"/>
          <w:highlight w:val="none"/>
        </w:rPr>
      </w:pPr>
      <w:r>
        <w:rPr>
          <w:rFonts w:hint="eastAsia" w:ascii="宋体" w:hAnsi="宋体" w:eastAsia="宋体" w:cs="宋体"/>
          <w:color w:val="auto"/>
          <w:sz w:val="24"/>
          <w:highlight w:val="none"/>
        </w:rPr>
        <w:t>乙  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（盖单位公章）</w:t>
      </w:r>
    </w:p>
    <w:p w14:paraId="6A6F1BD1">
      <w:pPr>
        <w:pStyle w:val="27"/>
        <w:spacing w:beforeAutospacing="0" w:afterAutospacing="0"/>
        <w:ind w:firstLine="161"/>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498592A2">
      <w:pPr>
        <w:pStyle w:val="27"/>
        <w:spacing w:beforeAutospacing="0" w:afterAutospacing="0"/>
        <w:ind w:firstLine="161"/>
        <w:jc w:val="center"/>
        <w:rPr>
          <w:rFonts w:hint="eastAsia" w:ascii="宋体" w:hAnsi="宋体" w:eastAsia="宋体" w:cs="宋体"/>
          <w:b/>
          <w:i/>
          <w:color w:val="auto"/>
          <w:sz w:val="32"/>
          <w:szCs w:val="32"/>
          <w:highlight w:val="none"/>
          <w:u w:val="singl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法定代表人或其委托代理人：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w:t>
      </w:r>
    </w:p>
    <w:p w14:paraId="258772FC">
      <w:pPr>
        <w:pStyle w:val="228"/>
        <w:rPr>
          <w:rFonts w:hint="eastAsia" w:ascii="宋体" w:hAnsi="宋体" w:eastAsia="宋体" w:cs="宋体"/>
          <w:color w:val="auto"/>
          <w:highlight w:val="none"/>
        </w:rPr>
      </w:pPr>
    </w:p>
    <w:p w14:paraId="71275A0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23DC086A">
      <w:pPr>
        <w:widowControl/>
        <w:spacing w:line="499" w:lineRule="atLeast"/>
        <w:ind w:firstLine="160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、盐城市政府采购事前信用承诺书</w:t>
      </w:r>
    </w:p>
    <w:p w14:paraId="4252AB17">
      <w:pPr>
        <w:widowControl/>
        <w:spacing w:line="499" w:lineRule="atLeast"/>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188B8211">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1F38C2FF">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548CAA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79B713C">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（三）严格依照国家和省、市关于政府采购的法律、法规、规章、规范性文件，参加政府采购投标活动；积极履行社会责任，促进廉政建设；</w:t>
      </w:r>
    </w:p>
    <w:p w14:paraId="240A416C">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609B58F8">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B46051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2908BF62">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071B10E">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18B692B6">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73BB078E">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27FD1DBC">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bookmarkEnd w:id="6"/>
      <w:bookmarkEnd w:id="28"/>
      <w:bookmarkEnd w:id="29"/>
      <w:bookmarkEnd w:id="30"/>
      <w:bookmarkEnd w:id="31"/>
      <w:bookmarkEnd w:id="32"/>
      <w:bookmarkEnd w:id="33"/>
      <w:bookmarkEnd w:id="34"/>
      <w:bookmarkEnd w:id="35"/>
      <w:bookmarkEnd w:id="36"/>
      <w:bookmarkEnd w:id="37"/>
      <w:bookmarkEnd w:id="38"/>
      <w:bookmarkEnd w:id="39"/>
      <w:bookmarkEnd w:id="148"/>
      <w:bookmarkEnd w:id="149"/>
      <w:bookmarkEnd w:id="153"/>
      <w:bookmarkEnd w:id="154"/>
      <w:bookmarkEnd w:id="155"/>
      <w:bookmarkEnd w:id="156"/>
      <w:bookmarkEnd w:id="157"/>
      <w:bookmarkEnd w:id="158"/>
      <w:bookmarkEnd w:id="159"/>
      <w:bookmarkEnd w:id="160"/>
      <w:bookmarkEnd w:id="169"/>
      <w:bookmarkEnd w:id="170"/>
      <w:bookmarkEnd w:id="171"/>
      <w:bookmarkEnd w:id="172"/>
      <w:bookmarkEnd w:id="173"/>
    </w:p>
    <w:p w14:paraId="4D20DE86">
      <w:pPr>
        <w:pStyle w:val="27"/>
        <w:spacing w:beforeAutospacing="0" w:afterAutospacing="0"/>
        <w:jc w:val="center"/>
        <w:rPr>
          <w:rFonts w:hint="eastAsia" w:ascii="宋体" w:hAnsi="宋体" w:eastAsia="宋体" w:cs="宋体"/>
          <w:color w:val="auto"/>
          <w:highlight w:val="none"/>
        </w:rPr>
      </w:pPr>
    </w:p>
    <w:p w14:paraId="3C639F2E">
      <w:pPr>
        <w:pStyle w:val="27"/>
        <w:spacing w:beforeAutospacing="0" w:afterAutospacing="0"/>
        <w:ind w:firstLine="161"/>
        <w:jc w:val="center"/>
        <w:rPr>
          <w:rFonts w:hint="eastAsia" w:ascii="宋体" w:hAnsi="宋体" w:eastAsia="宋体" w:cs="宋体"/>
          <w:b/>
          <w:bCs/>
          <w:color w:val="auto"/>
          <w:sz w:val="32"/>
          <w:szCs w:val="32"/>
          <w:highlight w:val="none"/>
        </w:rPr>
      </w:pPr>
    </w:p>
    <w:p w14:paraId="5F4295CA">
      <w:pPr>
        <w:pStyle w:val="27"/>
        <w:spacing w:beforeAutospacing="0" w:afterAutospacing="0"/>
        <w:ind w:firstLine="161"/>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质疑函范本</w:t>
      </w:r>
    </w:p>
    <w:p w14:paraId="5B3C9B75">
      <w:pPr>
        <w:pStyle w:val="27"/>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9F38682">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F87E0A2">
      <w:pPr>
        <w:pStyle w:val="2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29C5C6A1">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D100F83">
      <w:pPr>
        <w:pStyle w:val="2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AE09277">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0FC7197">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CDA96AD">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2B95ED6">
      <w:pPr>
        <w:pStyle w:val="2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0BE8E1E">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1E2E29E8">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7AB17496">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69E79AA">
      <w:pPr>
        <w:pStyle w:val="27"/>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9E62160">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E17E712">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6D8C3EA4">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A54FE12">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5758D8D0">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B258B61">
      <w:pPr>
        <w:pStyle w:val="27"/>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19A25B04">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3706E49">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4087F33">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5B5CF766">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FB3A00B">
      <w:pPr>
        <w:pStyle w:val="27"/>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3984052">
      <w:pPr>
        <w:pStyle w:val="2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F388655">
      <w:pPr>
        <w:pStyle w:val="27"/>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261D77D6">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348A1B8">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DD3BD4F">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5D43CE1C">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6BDFE4A4">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1CCA79AF">
      <w:pPr>
        <w:pStyle w:val="27"/>
        <w:widowControl/>
        <w:spacing w:beforeAutospacing="0" w:afterAutospacing="0" w:line="0" w:lineRule="atLeast"/>
        <w:ind w:firstLine="12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1D94CBF">
      <w:pPr>
        <w:pStyle w:val="27"/>
        <w:spacing w:beforeAutospacing="0" w:afterAutospacing="0"/>
        <w:rPr>
          <w:rFonts w:hint="eastAsia" w:ascii="宋体" w:hAnsi="宋体" w:eastAsia="宋体" w:cs="宋体"/>
          <w:color w:val="auto"/>
          <w:highlight w:val="none"/>
        </w:rPr>
      </w:pPr>
    </w:p>
    <w:p w14:paraId="24DB16E7">
      <w:pPr>
        <w:pStyle w:val="27"/>
        <w:spacing w:beforeAutospacing="0" w:afterAutospacing="0"/>
        <w:rPr>
          <w:rFonts w:hint="eastAsia" w:ascii="宋体" w:hAnsi="宋体" w:eastAsia="宋体" w:cs="宋体"/>
          <w:color w:val="auto"/>
          <w:highlight w:val="none"/>
        </w:rPr>
      </w:pPr>
    </w:p>
    <w:p w14:paraId="11DA1E2D">
      <w:pPr>
        <w:pStyle w:val="27"/>
        <w:spacing w:beforeAutospacing="0" w:afterAutospacing="0"/>
        <w:rPr>
          <w:rFonts w:hint="eastAsia" w:ascii="宋体" w:hAnsi="宋体" w:eastAsia="宋体" w:cs="宋体"/>
          <w:color w:val="auto"/>
          <w:highlight w:val="none"/>
        </w:rPr>
      </w:pPr>
    </w:p>
    <w:p w14:paraId="28776C40">
      <w:pPr>
        <w:pStyle w:val="27"/>
        <w:spacing w:beforeAutospacing="0" w:afterAutospacing="0" w:line="360" w:lineRule="auto"/>
        <w:rPr>
          <w:rFonts w:ascii="Times New Roman" w:hAnsi="宋体" w:eastAsia="宋体" w:cs="宋体"/>
          <w:color w:val="auto"/>
          <w:highlight w:val="none"/>
        </w:rPr>
      </w:pPr>
    </w:p>
    <w:p w14:paraId="0935031F">
      <w:pPr>
        <w:pStyle w:val="27"/>
        <w:spacing w:beforeAutospacing="0" w:afterAutospacing="0"/>
        <w:rPr>
          <w:rFonts w:hint="default" w:ascii="宋体" w:hAnsi="宋体" w:eastAsia="宋体" w:cs="宋体"/>
          <w:color w:val="auto"/>
          <w:highlight w:val="none"/>
          <w:lang w:val="en-US" w:eastAsia="zh-CN"/>
        </w:rPr>
      </w:pPr>
    </w:p>
    <w:sectPr>
      <w:footerReference r:id="rId8"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dobe 仿宋 Std R">
    <w:altName w:val="仿宋"/>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5C8A1">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D153F">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7060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CE7060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D99FE">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0CE79">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2BB0CE79">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1D884">
    <w:pPr>
      <w:pStyle w:val="7"/>
      <w:spacing w:line="14" w:lineRule="auto"/>
      <w:rPr>
        <w:rFonts w:ascii="Times New Roman" w:eastAsia="宋体"/>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248E7">
                          <w:pPr>
                            <w:pStyle w:val="1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264248E7">
                    <w:pPr>
                      <w:pStyle w:val="17"/>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4DA2A">
    <w:pPr>
      <w:pStyle w:val="20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9273EF">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7E9273EF">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B7D41">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5740F6"/>
    <w:rsid w:val="6C481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keepNext/>
      <w:outlineLvl w:val="0"/>
    </w:pPr>
    <w:rPr>
      <w:rFonts w:ascii="楷体_GB2312" w:eastAsia="楷体_GB2312"/>
      <w:sz w:val="28"/>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widowControl/>
      <w:ind w:firstLine="420"/>
      <w:jc w:val="left"/>
    </w:pPr>
  </w:style>
  <w:style w:type="paragraph" w:styleId="4">
    <w:name w:val="toc 7"/>
    <w:basedOn w:val="1"/>
    <w:next w:val="1"/>
    <w:unhideWhenUsed/>
    <w:qFormat/>
    <w:uiPriority w:val="39"/>
    <w:pPr>
      <w:spacing w:after="57"/>
      <w:ind w:left="1701"/>
    </w:pPr>
  </w:style>
  <w:style w:type="paragraph" w:styleId="5">
    <w:name w:val="Normal Indent"/>
    <w:basedOn w:val="1"/>
    <w:link w:val="216"/>
    <w:unhideWhenUsed/>
    <w:qFormat/>
    <w:uiPriority w:val="0"/>
    <w:pPr>
      <w:ind w:firstLine="420"/>
    </w:pPr>
    <w:rPr>
      <w:rFonts w:ascii="Calibri" w:hAnsi="Calibri" w:eastAsia="宋体" w:cs="Times New Roman"/>
      <w:sz w:val="20"/>
      <w:szCs w:val="20"/>
    </w:rPr>
  </w:style>
  <w:style w:type="paragraph" w:styleId="6">
    <w:name w:val="annotation text"/>
    <w:basedOn w:val="1"/>
    <w:semiHidden/>
    <w:unhideWhenUsed/>
    <w:qFormat/>
    <w:uiPriority w:val="99"/>
    <w:pPr>
      <w:jc w:val="left"/>
    </w:pPr>
  </w:style>
  <w:style w:type="paragraph" w:styleId="7">
    <w:name w:val="Body Text"/>
    <w:basedOn w:val="1"/>
    <w:link w:val="218"/>
    <w:unhideWhenUsed/>
    <w:qFormat/>
    <w:uiPriority w:val="99"/>
    <w:rPr>
      <w:rFonts w:ascii="楷体_GB2312" w:hAnsi="Arial" w:eastAsia="楷体_GB2312" w:cs="Times New Roman"/>
      <w:sz w:val="28"/>
      <w:szCs w:val="28"/>
    </w:rPr>
  </w:style>
  <w:style w:type="paragraph" w:styleId="8">
    <w:name w:val="Body Text Indent"/>
    <w:basedOn w:val="1"/>
    <w:next w:val="9"/>
    <w:qFormat/>
    <w:uiPriority w:val="0"/>
    <w:pPr>
      <w:spacing w:after="120"/>
      <w:ind w:left="420"/>
    </w:pPr>
  </w:style>
  <w:style w:type="paragraph" w:styleId="9">
    <w:name w:val="envelope return"/>
    <w:basedOn w:val="1"/>
    <w:qFormat/>
    <w:uiPriority w:val="0"/>
    <w:pPr>
      <w:spacing w:line="360" w:lineRule="auto"/>
    </w:pPr>
    <w:rPr>
      <w:rFonts w:ascii="Arial" w:hAnsi="Arial" w:eastAsia="仿宋" w:cs="Arial"/>
      <w:sz w:val="28"/>
      <w:szCs w:val="21"/>
    </w:rPr>
  </w:style>
  <w:style w:type="paragraph" w:styleId="10">
    <w:name w:val="Block Text"/>
    <w:basedOn w:val="1"/>
    <w:qFormat/>
    <w:uiPriority w:val="0"/>
    <w:pPr>
      <w:tabs>
        <w:tab w:val="left" w:pos="9000"/>
      </w:tabs>
      <w:jc w:val="left"/>
    </w:pPr>
  </w:style>
  <w:style w:type="paragraph" w:styleId="11">
    <w:name w:val="toc 5"/>
    <w:basedOn w:val="1"/>
    <w:next w:val="1"/>
    <w:unhideWhenUsed/>
    <w:qFormat/>
    <w:uiPriority w:val="39"/>
    <w:pPr>
      <w:spacing w:after="57"/>
      <w:ind w:left="1134"/>
    </w:pPr>
  </w:style>
  <w:style w:type="paragraph" w:styleId="12">
    <w:name w:val="toc 3"/>
    <w:basedOn w:val="1"/>
    <w:next w:val="1"/>
    <w:unhideWhenUsed/>
    <w:qFormat/>
    <w:uiPriority w:val="39"/>
    <w:pPr>
      <w:spacing w:after="57"/>
      <w:ind w:left="567"/>
    </w:pPr>
  </w:style>
  <w:style w:type="paragraph" w:styleId="13">
    <w:name w:val="Plain Text"/>
    <w:basedOn w:val="1"/>
    <w:link w:val="214"/>
    <w:unhideWhenUsed/>
    <w:qFormat/>
    <w:uiPriority w:val="0"/>
    <w:rPr>
      <w:rFonts w:ascii="宋体" w:hAnsi="Courier New" w:eastAsia="宋体" w:cs="Times New Roman"/>
      <w:szCs w:val="21"/>
    </w:rPr>
  </w:style>
  <w:style w:type="paragraph" w:styleId="14">
    <w:name w:val="toc 8"/>
    <w:basedOn w:val="1"/>
    <w:next w:val="1"/>
    <w:unhideWhenUsed/>
    <w:qFormat/>
    <w:uiPriority w:val="39"/>
    <w:pPr>
      <w:spacing w:after="57"/>
      <w:ind w:left="1984"/>
    </w:pPr>
  </w:style>
  <w:style w:type="paragraph" w:styleId="15">
    <w:name w:val="endnote text"/>
    <w:basedOn w:val="1"/>
    <w:link w:val="205"/>
    <w:semiHidden/>
    <w:unhideWhenUsed/>
    <w:qFormat/>
    <w:uiPriority w:val="99"/>
    <w:rPr>
      <w:sz w:val="20"/>
    </w:rPr>
  </w:style>
  <w:style w:type="paragraph" w:styleId="16">
    <w:name w:val="Balloon Text"/>
    <w:basedOn w:val="1"/>
    <w:link w:val="220"/>
    <w:qFormat/>
    <w:uiPriority w:val="0"/>
    <w:rPr>
      <w:sz w:val="18"/>
      <w:szCs w:val="18"/>
    </w:rPr>
  </w:style>
  <w:style w:type="paragraph" w:styleId="17">
    <w:name w:val="footer"/>
    <w:basedOn w:val="1"/>
    <w:semiHidden/>
    <w:unhideWhenUsed/>
    <w:qFormat/>
    <w:uiPriority w:val="99"/>
    <w:pPr>
      <w:tabs>
        <w:tab w:val="center" w:pos="4153"/>
        <w:tab w:val="right" w:pos="8306"/>
      </w:tabs>
      <w:jc w:val="left"/>
    </w:pPr>
    <w:rPr>
      <w:sz w:val="18"/>
    </w:rPr>
  </w:style>
  <w:style w:type="paragraph" w:styleId="18">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sz w:val="18"/>
    </w:rPr>
  </w:style>
  <w:style w:type="paragraph" w:styleId="19">
    <w:name w:val="toc 1"/>
    <w:basedOn w:val="1"/>
    <w:next w:val="1"/>
    <w:unhideWhenUsed/>
    <w:qFormat/>
    <w:uiPriority w:val="39"/>
    <w:pPr>
      <w:spacing w:after="57"/>
    </w:pPr>
  </w:style>
  <w:style w:type="paragraph" w:styleId="20">
    <w:name w:val="toc 4"/>
    <w:basedOn w:val="1"/>
    <w:next w:val="1"/>
    <w:unhideWhenUsed/>
    <w:qFormat/>
    <w:uiPriority w:val="39"/>
    <w:pPr>
      <w:spacing w:after="57"/>
      <w:ind w:left="850"/>
    </w:pPr>
  </w:style>
  <w:style w:type="paragraph" w:styleId="21">
    <w:name w:val="Subtitle"/>
    <w:basedOn w:val="1"/>
    <w:next w:val="1"/>
    <w:link w:val="70"/>
    <w:qFormat/>
    <w:uiPriority w:val="11"/>
    <w:pPr>
      <w:spacing w:before="200" w:after="200"/>
    </w:pPr>
    <w:rPr>
      <w:sz w:val="24"/>
    </w:rPr>
  </w:style>
  <w:style w:type="paragraph" w:styleId="22">
    <w:name w:val="footnote text"/>
    <w:basedOn w:val="1"/>
    <w:link w:val="204"/>
    <w:semiHidden/>
    <w:unhideWhenUsed/>
    <w:qFormat/>
    <w:uiPriority w:val="99"/>
    <w:pPr>
      <w:spacing w:after="40"/>
    </w:pPr>
    <w:rPr>
      <w:sz w:val="18"/>
    </w:rPr>
  </w:style>
  <w:style w:type="paragraph" w:styleId="23">
    <w:name w:val="toc 6"/>
    <w:basedOn w:val="1"/>
    <w:next w:val="1"/>
    <w:unhideWhenUsed/>
    <w:qFormat/>
    <w:uiPriority w:val="39"/>
    <w:pPr>
      <w:spacing w:after="57"/>
      <w:ind w:left="1417"/>
    </w:pPr>
  </w:style>
  <w:style w:type="paragraph" w:styleId="24">
    <w:name w:val="table of figures"/>
    <w:basedOn w:val="1"/>
    <w:next w:val="1"/>
    <w:unhideWhenUsed/>
    <w:qFormat/>
    <w:uiPriority w:val="99"/>
  </w:style>
  <w:style w:type="paragraph" w:styleId="25">
    <w:name w:val="toc 2"/>
    <w:basedOn w:val="1"/>
    <w:next w:val="1"/>
    <w:unhideWhenUsed/>
    <w:qFormat/>
    <w:uiPriority w:val="39"/>
    <w:pPr>
      <w:spacing w:after="57"/>
      <w:ind w:left="283"/>
    </w:pPr>
  </w:style>
  <w:style w:type="paragraph" w:styleId="26">
    <w:name w:val="toc 9"/>
    <w:basedOn w:val="1"/>
    <w:next w:val="1"/>
    <w:unhideWhenUsed/>
    <w:qFormat/>
    <w:uiPriority w:val="39"/>
    <w:pPr>
      <w:spacing w:after="57"/>
      <w:ind w:left="2268"/>
    </w:pPr>
  </w:style>
  <w:style w:type="paragraph" w:styleId="27">
    <w:name w:val="Normal (Web)"/>
    <w:basedOn w:val="1"/>
    <w:qFormat/>
    <w:uiPriority w:val="0"/>
    <w:pPr>
      <w:spacing w:beforeAutospacing="1" w:afterAutospacing="1"/>
      <w:jc w:val="left"/>
    </w:pPr>
    <w:rPr>
      <w:rFonts w:cs="Times New Roman"/>
      <w:sz w:val="24"/>
    </w:rPr>
  </w:style>
  <w:style w:type="paragraph" w:styleId="28">
    <w:name w:val="Title"/>
    <w:basedOn w:val="1"/>
    <w:next w:val="1"/>
    <w:link w:val="69"/>
    <w:qFormat/>
    <w:uiPriority w:val="10"/>
    <w:pPr>
      <w:spacing w:before="300" w:after="200"/>
      <w:contextualSpacing/>
    </w:pPr>
    <w:rPr>
      <w:sz w:val="48"/>
      <w:szCs w:val="48"/>
    </w:rPr>
  </w:style>
  <w:style w:type="paragraph" w:styleId="29">
    <w:name w:val="Body Text First Indent"/>
    <w:basedOn w:val="7"/>
    <w:next w:val="1"/>
    <w:qFormat/>
    <w:uiPriority w:val="0"/>
    <w:pPr>
      <w:spacing w:line="360" w:lineRule="auto"/>
      <w:ind w:firstLine="200"/>
    </w:pPr>
    <w:rPr>
      <w:rFonts w:ascii="仿宋_GB2312" w:hAnsi="Times New Roman" w:eastAsia="仿宋_GB2312"/>
      <w:sz w:val="30"/>
      <w:szCs w:val="30"/>
    </w:rPr>
  </w:style>
  <w:style w:type="paragraph" w:styleId="30">
    <w:name w:val="Body Text First Indent 2"/>
    <w:basedOn w:val="8"/>
    <w:next w:val="31"/>
    <w:qFormat/>
    <w:uiPriority w:val="0"/>
    <w:pPr>
      <w:spacing w:line="360" w:lineRule="auto"/>
      <w:ind w:firstLine="420"/>
    </w:pPr>
    <w:rPr>
      <w:rFonts w:ascii="宋体" w:eastAsia="仿宋"/>
      <w:sz w:val="24"/>
      <w:szCs w:val="21"/>
    </w:rPr>
  </w:style>
  <w:style w:type="paragraph" w:customStyle="1" w:styleId="31">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table" w:styleId="33">
    <w:name w:val="Table Grid"/>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bCs/>
    </w:rPr>
  </w:style>
  <w:style w:type="character" w:styleId="36">
    <w:name w:val="endnote reference"/>
    <w:basedOn w:val="34"/>
    <w:semiHidden/>
    <w:unhideWhenUsed/>
    <w:qFormat/>
    <w:uiPriority w:val="99"/>
    <w:rPr>
      <w:vertAlign w:val="superscript"/>
    </w:rPr>
  </w:style>
  <w:style w:type="character" w:styleId="37">
    <w:name w:val="Hyperlink"/>
    <w:unhideWhenUsed/>
    <w:qFormat/>
    <w:uiPriority w:val="99"/>
    <w:rPr>
      <w:color w:val="0563C1" w:themeColor="hyperlink"/>
      <w:u w:val="single"/>
      <w14:textFill>
        <w14:solidFill>
          <w14:schemeClr w14:val="hlink"/>
        </w14:solidFill>
      </w14:textFill>
    </w:rPr>
  </w:style>
  <w:style w:type="character" w:styleId="38">
    <w:name w:val="footnote reference"/>
    <w:basedOn w:val="34"/>
    <w:unhideWhenUsed/>
    <w:qFormat/>
    <w:uiPriority w:val="99"/>
    <w:rPr>
      <w:vertAlign w:val="superscript"/>
    </w:rPr>
  </w:style>
  <w:style w:type="paragraph" w:customStyle="1" w:styleId="39">
    <w:name w:val="正文首行缩进11"/>
    <w:basedOn w:val="1"/>
    <w:next w:val="1"/>
    <w:unhideWhenUsed/>
    <w:qFormat/>
    <w:uiPriority w:val="99"/>
    <w:pPr>
      <w:ind w:firstLine="420"/>
    </w:pPr>
    <w:rPr>
      <w:rFonts w:ascii="Times New Roman" w:hAnsi="Times New Roman"/>
    </w:rPr>
  </w:style>
  <w:style w:type="paragraph" w:customStyle="1" w:styleId="40">
    <w:name w:val="TOC Heading"/>
    <w:unhideWhenUsed/>
    <w:qFormat/>
    <w:uiPriority w:val="39"/>
    <w:rPr>
      <w:rFonts w:hint="default" w:ascii="Times New Roman" w:hAnsi="Times New Roman" w:eastAsia="宋体" w:cs="Times New Roman"/>
    </w:rPr>
  </w:style>
  <w:style w:type="character" w:customStyle="1" w:styleId="41">
    <w:name w:val="Title Char"/>
    <w:basedOn w:val="34"/>
    <w:qFormat/>
    <w:uiPriority w:val="10"/>
    <w:rPr>
      <w:sz w:val="48"/>
      <w:szCs w:val="48"/>
    </w:rPr>
  </w:style>
  <w:style w:type="character" w:customStyle="1" w:styleId="42">
    <w:name w:val="Subtitle Char"/>
    <w:basedOn w:val="34"/>
    <w:qFormat/>
    <w:uiPriority w:val="11"/>
    <w:rPr>
      <w:sz w:val="24"/>
      <w:szCs w:val="24"/>
    </w:rPr>
  </w:style>
  <w:style w:type="character" w:customStyle="1" w:styleId="43">
    <w:name w:val="Quote Char"/>
    <w:qFormat/>
    <w:uiPriority w:val="29"/>
    <w:rPr>
      <w:i/>
    </w:rPr>
  </w:style>
  <w:style w:type="character" w:customStyle="1" w:styleId="44">
    <w:name w:val="Intense Quote Char"/>
    <w:qFormat/>
    <w:uiPriority w:val="30"/>
    <w:rPr>
      <w:i/>
    </w:rPr>
  </w:style>
  <w:style w:type="character" w:customStyle="1" w:styleId="45">
    <w:name w:val="Footnote Text Char"/>
    <w:qFormat/>
    <w:uiPriority w:val="99"/>
    <w:rPr>
      <w:sz w:val="18"/>
    </w:rPr>
  </w:style>
  <w:style w:type="character" w:customStyle="1" w:styleId="46">
    <w:name w:val="Endnote Text Char"/>
    <w:qFormat/>
    <w:uiPriority w:val="99"/>
    <w:rPr>
      <w:sz w:val="20"/>
    </w:rPr>
  </w:style>
  <w:style w:type="paragraph" w:customStyle="1" w:styleId="47">
    <w:name w:val="Heading 1"/>
    <w:basedOn w:val="1"/>
    <w:next w:val="1"/>
    <w:qFormat/>
    <w:uiPriority w:val="9"/>
    <w:pPr>
      <w:keepNext/>
      <w:keepLines/>
      <w:spacing w:before="340" w:after="330" w:line="576" w:lineRule="auto"/>
      <w:outlineLvl w:val="0"/>
    </w:pPr>
    <w:rPr>
      <w:b/>
      <w:sz w:val="44"/>
    </w:rPr>
  </w:style>
  <w:style w:type="paragraph" w:customStyle="1" w:styleId="48">
    <w:name w:val="Heading 2"/>
    <w:basedOn w:val="1"/>
    <w:link w:val="225"/>
    <w:qFormat/>
    <w:uiPriority w:val="9"/>
    <w:pPr>
      <w:widowControl/>
      <w:spacing w:before="100" w:beforeAutospacing="1" w:after="100" w:afterAutospacing="1"/>
      <w:jc w:val="left"/>
      <w:outlineLvl w:val="1"/>
    </w:pPr>
    <w:rPr>
      <w:rFonts w:ascii="宋体" w:hAnsi="宋体" w:eastAsia="宋体" w:cs="宋体"/>
      <w:b/>
      <w:bCs/>
      <w:sz w:val="36"/>
      <w:szCs w:val="36"/>
    </w:rPr>
  </w:style>
  <w:style w:type="paragraph" w:customStyle="1" w:styleId="49">
    <w:name w:val="Footer"/>
    <w:basedOn w:val="1"/>
    <w:link w:val="224"/>
    <w:semiHidden/>
    <w:unhideWhenUsed/>
    <w:qFormat/>
    <w:uiPriority w:val="99"/>
    <w:pPr>
      <w:tabs>
        <w:tab w:val="center" w:pos="4153"/>
        <w:tab w:val="right" w:pos="8306"/>
      </w:tabs>
      <w:jc w:val="left"/>
    </w:pPr>
    <w:rPr>
      <w:sz w:val="18"/>
      <w:szCs w:val="18"/>
    </w:rPr>
  </w:style>
  <w:style w:type="paragraph" w:customStyle="1" w:styleId="50">
    <w:name w:val="Header"/>
    <w:basedOn w:val="1"/>
    <w:link w:val="223"/>
    <w:semiHidden/>
    <w:unhideWhenUsed/>
    <w:qFormat/>
    <w:uiPriority w:val="99"/>
    <w:pPr>
      <w:pBdr>
        <w:bottom w:val="single" w:color="auto" w:sz="6" w:space="1"/>
      </w:pBdr>
      <w:tabs>
        <w:tab w:val="center" w:pos="4153"/>
        <w:tab w:val="right" w:pos="8306"/>
      </w:tabs>
      <w:jc w:val="center"/>
    </w:pPr>
    <w:rPr>
      <w:sz w:val="18"/>
      <w:szCs w:val="18"/>
    </w:rPr>
  </w:style>
  <w:style w:type="paragraph" w:customStyle="1" w:styleId="51">
    <w:name w:val="Heading 11"/>
    <w:basedOn w:val="1"/>
    <w:next w:val="1"/>
    <w:link w:val="52"/>
    <w:qFormat/>
    <w:uiPriority w:val="9"/>
    <w:pPr>
      <w:keepNext/>
      <w:keepLines/>
      <w:spacing w:before="480" w:after="200"/>
      <w:outlineLvl w:val="0"/>
    </w:pPr>
    <w:rPr>
      <w:rFonts w:ascii="Arial" w:hAnsi="Arial" w:eastAsia="Arial" w:cs="Arial"/>
      <w:sz w:val="40"/>
      <w:szCs w:val="40"/>
    </w:rPr>
  </w:style>
  <w:style w:type="character" w:customStyle="1" w:styleId="52">
    <w:name w:val="Heading 1 Char"/>
    <w:basedOn w:val="34"/>
    <w:link w:val="51"/>
    <w:qFormat/>
    <w:uiPriority w:val="9"/>
    <w:rPr>
      <w:rFonts w:ascii="Arial" w:hAnsi="Arial" w:eastAsia="Arial" w:cs="Arial"/>
      <w:sz w:val="40"/>
      <w:szCs w:val="40"/>
    </w:rPr>
  </w:style>
  <w:style w:type="character" w:customStyle="1" w:styleId="53">
    <w:name w:val="Heading 2 Char"/>
    <w:basedOn w:val="34"/>
    <w:qFormat/>
    <w:uiPriority w:val="9"/>
    <w:rPr>
      <w:rFonts w:ascii="Arial" w:hAnsi="Arial" w:eastAsia="Arial" w:cs="Arial"/>
      <w:sz w:val="34"/>
    </w:rPr>
  </w:style>
  <w:style w:type="character" w:customStyle="1" w:styleId="54">
    <w:name w:val="Heading 3 Char"/>
    <w:basedOn w:val="34"/>
    <w:qFormat/>
    <w:uiPriority w:val="9"/>
    <w:rPr>
      <w:rFonts w:ascii="Arial" w:hAnsi="Arial" w:eastAsia="Arial" w:cs="Arial"/>
      <w:sz w:val="30"/>
      <w:szCs w:val="30"/>
    </w:rPr>
  </w:style>
  <w:style w:type="paragraph" w:customStyle="1" w:styleId="55">
    <w:name w:val="Heading 4"/>
    <w:basedOn w:val="1"/>
    <w:next w:val="1"/>
    <w:link w:val="56"/>
    <w:unhideWhenUsed/>
    <w:qFormat/>
    <w:uiPriority w:val="9"/>
    <w:pPr>
      <w:keepNext/>
      <w:keepLines/>
      <w:spacing w:before="320" w:after="200"/>
      <w:outlineLvl w:val="3"/>
    </w:pPr>
    <w:rPr>
      <w:rFonts w:ascii="Arial" w:hAnsi="Arial" w:eastAsia="Arial" w:cs="Arial"/>
      <w:b/>
      <w:bCs/>
      <w:sz w:val="26"/>
      <w:szCs w:val="26"/>
    </w:rPr>
  </w:style>
  <w:style w:type="character" w:customStyle="1" w:styleId="56">
    <w:name w:val="Heading 4 Char"/>
    <w:basedOn w:val="34"/>
    <w:link w:val="55"/>
    <w:qFormat/>
    <w:uiPriority w:val="9"/>
    <w:rPr>
      <w:rFonts w:ascii="Arial" w:hAnsi="Arial" w:eastAsia="Arial" w:cs="Arial"/>
      <w:b/>
      <w:bCs/>
      <w:sz w:val="26"/>
      <w:szCs w:val="26"/>
    </w:rPr>
  </w:style>
  <w:style w:type="paragraph" w:customStyle="1" w:styleId="57">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character" w:customStyle="1" w:styleId="58">
    <w:name w:val="Heading 5 Char"/>
    <w:basedOn w:val="34"/>
    <w:link w:val="57"/>
    <w:qFormat/>
    <w:uiPriority w:val="9"/>
    <w:rPr>
      <w:rFonts w:ascii="Arial" w:hAnsi="Arial" w:eastAsia="Arial" w:cs="Arial"/>
      <w:b/>
      <w:bCs/>
      <w:sz w:val="24"/>
      <w:szCs w:val="24"/>
    </w:rPr>
  </w:style>
  <w:style w:type="paragraph" w:customStyle="1" w:styleId="59">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character" w:customStyle="1" w:styleId="60">
    <w:name w:val="Heading 6 Char"/>
    <w:basedOn w:val="34"/>
    <w:link w:val="59"/>
    <w:qFormat/>
    <w:uiPriority w:val="9"/>
    <w:rPr>
      <w:rFonts w:ascii="Arial" w:hAnsi="Arial" w:eastAsia="Arial" w:cs="Arial"/>
      <w:b/>
      <w:bCs/>
      <w:sz w:val="22"/>
      <w:szCs w:val="22"/>
    </w:rPr>
  </w:style>
  <w:style w:type="paragraph" w:customStyle="1" w:styleId="61">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62">
    <w:name w:val="Heading 7 Char"/>
    <w:basedOn w:val="34"/>
    <w:link w:val="61"/>
    <w:qFormat/>
    <w:uiPriority w:val="9"/>
    <w:rPr>
      <w:rFonts w:ascii="Arial" w:hAnsi="Arial" w:eastAsia="Arial" w:cs="Arial"/>
      <w:b/>
      <w:bCs/>
      <w:i/>
      <w:iCs/>
      <w:sz w:val="22"/>
      <w:szCs w:val="22"/>
    </w:rPr>
  </w:style>
  <w:style w:type="paragraph" w:customStyle="1" w:styleId="63">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character" w:customStyle="1" w:styleId="64">
    <w:name w:val="Heading 8 Char"/>
    <w:basedOn w:val="34"/>
    <w:link w:val="63"/>
    <w:qFormat/>
    <w:uiPriority w:val="9"/>
    <w:rPr>
      <w:rFonts w:ascii="Arial" w:hAnsi="Arial" w:eastAsia="Arial" w:cs="Arial"/>
      <w:i/>
      <w:iCs/>
      <w:sz w:val="22"/>
      <w:szCs w:val="22"/>
    </w:rPr>
  </w:style>
  <w:style w:type="paragraph" w:customStyle="1" w:styleId="65">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customStyle="1" w:styleId="66">
    <w:name w:val="Heading 9 Char"/>
    <w:basedOn w:val="34"/>
    <w:link w:val="65"/>
    <w:qFormat/>
    <w:uiPriority w:val="9"/>
    <w:rPr>
      <w:rFonts w:ascii="Arial" w:hAnsi="Arial" w:eastAsia="Arial" w:cs="Arial"/>
      <w:i/>
      <w:iCs/>
      <w:sz w:val="21"/>
      <w:szCs w:val="21"/>
    </w:rPr>
  </w:style>
  <w:style w:type="paragraph" w:styleId="67">
    <w:name w:val="List Paragraph"/>
    <w:basedOn w:val="1"/>
    <w:qFormat/>
    <w:uiPriority w:val="34"/>
    <w:pPr>
      <w:ind w:left="720"/>
      <w:contextualSpacing/>
    </w:pPr>
  </w:style>
  <w:style w:type="paragraph" w:styleId="68">
    <w:name w:val="No Spacing"/>
    <w:qFormat/>
    <w:uiPriority w:val="1"/>
    <w:rPr>
      <w:rFonts w:hint="default" w:ascii="Times New Roman" w:hAnsi="Times New Roman" w:eastAsia="宋体" w:cs="Times New Roman"/>
      <w:lang w:val="en-US" w:eastAsia="zh-CN" w:bidi="ar-SA"/>
    </w:rPr>
  </w:style>
  <w:style w:type="character" w:customStyle="1" w:styleId="69">
    <w:name w:val="标题 Char"/>
    <w:basedOn w:val="34"/>
    <w:link w:val="28"/>
    <w:qFormat/>
    <w:uiPriority w:val="10"/>
    <w:rPr>
      <w:sz w:val="48"/>
      <w:szCs w:val="48"/>
    </w:rPr>
  </w:style>
  <w:style w:type="character" w:customStyle="1" w:styleId="70">
    <w:name w:val="副标题 Char"/>
    <w:basedOn w:val="34"/>
    <w:link w:val="21"/>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Header Char"/>
    <w:basedOn w:val="34"/>
    <w:qFormat/>
    <w:uiPriority w:val="99"/>
  </w:style>
  <w:style w:type="character" w:customStyle="1" w:styleId="76">
    <w:name w:val="Footer Char"/>
    <w:basedOn w:val="34"/>
    <w:qFormat/>
    <w:uiPriority w:val="99"/>
  </w:style>
  <w:style w:type="paragraph" w:customStyle="1" w:styleId="77">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character" w:customStyle="1" w:styleId="78">
    <w:name w:val="Caption Char"/>
    <w:qFormat/>
    <w:uiPriority w:val="99"/>
  </w:style>
  <w:style w:type="table" w:customStyle="1" w:styleId="79">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3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3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3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3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3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3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3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3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3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3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3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Grid Table 2"/>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3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3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3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3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3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3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3"/>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3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3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3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3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32"/>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32"/>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4"/>
    <w:basedOn w:val="3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3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3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3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3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3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3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Grid Table 5 Dark"/>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Grid Table 6 Colorful"/>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3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3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3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6 Colorful - Accent 4"/>
    <w:basedOn w:val="3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3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3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Grid Table 7 Colorful"/>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3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3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3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7 Colorful - Accent 4"/>
    <w:basedOn w:val="3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3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3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List Table 1 Light"/>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32"/>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List Table 2"/>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3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3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3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3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3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3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3"/>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3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3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3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3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3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3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List Table 4"/>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3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3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3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3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3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3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3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3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3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3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3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3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List Table 6 Colorful"/>
    <w:basedOn w:val="3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32"/>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32"/>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32"/>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32"/>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32"/>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32"/>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3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32"/>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32"/>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32"/>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32"/>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32"/>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32"/>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3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3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3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3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3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3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3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3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3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3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3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3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3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3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脚注文本 Char"/>
    <w:link w:val="22"/>
    <w:qFormat/>
    <w:uiPriority w:val="99"/>
    <w:rPr>
      <w:sz w:val="18"/>
    </w:rPr>
  </w:style>
  <w:style w:type="character" w:customStyle="1" w:styleId="205">
    <w:name w:val="尾注文本 Char"/>
    <w:link w:val="15"/>
    <w:qFormat/>
    <w:uiPriority w:val="99"/>
    <w:rPr>
      <w:sz w:val="20"/>
    </w:rPr>
  </w:style>
  <w:style w:type="paragraph" w:customStyle="1" w:styleId="206">
    <w:name w:val="TOC 标题1"/>
    <w:unhideWhenUsed/>
    <w:qFormat/>
    <w:uiPriority w:val="39"/>
    <w:rPr>
      <w:rFonts w:hint="default" w:ascii="Times New Roman" w:hAnsi="Times New Roman" w:eastAsia="宋体" w:cs="Times New Roman"/>
      <w:lang w:val="en-US" w:eastAsia="zh-CN" w:bidi="ar-SA"/>
    </w:rPr>
  </w:style>
  <w:style w:type="paragraph" w:customStyle="1" w:styleId="207">
    <w:name w:val="Heading 21"/>
    <w:basedOn w:val="1"/>
    <w:next w:val="1"/>
    <w:link w:val="222"/>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208">
    <w:name w:val="Heading 3"/>
    <w:basedOn w:val="1"/>
    <w:next w:val="5"/>
    <w:link w:val="21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09">
    <w:name w:val="Footer1"/>
    <w:basedOn w:val="1"/>
    <w:link w:val="212"/>
    <w:qFormat/>
    <w:uiPriority w:val="99"/>
    <w:pPr>
      <w:tabs>
        <w:tab w:val="center" w:pos="4153"/>
        <w:tab w:val="right" w:pos="8306"/>
      </w:tabs>
      <w:jc w:val="left"/>
    </w:pPr>
    <w:rPr>
      <w:sz w:val="18"/>
      <w:szCs w:val="18"/>
    </w:rPr>
  </w:style>
  <w:style w:type="paragraph" w:customStyle="1" w:styleId="210">
    <w:name w:val="Header1"/>
    <w:basedOn w:val="1"/>
    <w:link w:val="211"/>
    <w:qFormat/>
    <w:uiPriority w:val="99"/>
    <w:pPr>
      <w:pBdr>
        <w:bottom w:val="single" w:color="auto" w:sz="6" w:space="1"/>
      </w:pBdr>
      <w:tabs>
        <w:tab w:val="center" w:pos="4153"/>
        <w:tab w:val="right" w:pos="8306"/>
      </w:tabs>
      <w:jc w:val="center"/>
    </w:pPr>
    <w:rPr>
      <w:sz w:val="18"/>
      <w:szCs w:val="18"/>
    </w:rPr>
  </w:style>
  <w:style w:type="character" w:customStyle="1" w:styleId="211">
    <w:name w:val="页眉 Char"/>
    <w:basedOn w:val="34"/>
    <w:link w:val="210"/>
    <w:qFormat/>
    <w:uiPriority w:val="99"/>
    <w:rPr>
      <w:rFonts w:asciiTheme="minorHAnsi" w:hAnsiTheme="minorHAnsi" w:eastAsiaTheme="minorEastAsia" w:cstheme="minorBidi"/>
      <w:sz w:val="18"/>
      <w:szCs w:val="18"/>
    </w:rPr>
  </w:style>
  <w:style w:type="character" w:customStyle="1" w:styleId="212">
    <w:name w:val="页脚 Char"/>
    <w:basedOn w:val="34"/>
    <w:link w:val="209"/>
    <w:qFormat/>
    <w:uiPriority w:val="99"/>
    <w:rPr>
      <w:rFonts w:asciiTheme="minorHAnsi" w:hAnsiTheme="minorHAnsi" w:eastAsiaTheme="minorEastAsia" w:cstheme="minorBidi"/>
      <w:sz w:val="18"/>
      <w:szCs w:val="18"/>
    </w:rPr>
  </w:style>
  <w:style w:type="paragraph" w:customStyle="1" w:styleId="213">
    <w:name w:val="!BECC正文"/>
    <w:basedOn w:val="1"/>
    <w:qFormat/>
    <w:uiPriority w:val="0"/>
    <w:pPr>
      <w:tabs>
        <w:tab w:val="left" w:pos="0"/>
      </w:tabs>
      <w:spacing w:line="360" w:lineRule="auto"/>
      <w:ind w:firstLine="200"/>
      <w:contextualSpacing/>
    </w:pPr>
    <w:rPr>
      <w:rFonts w:ascii="Times New Roman" w:hAnsi="Times New Roman" w:eastAsia="宋体" w:cs="Times New Roman"/>
      <w:sz w:val="24"/>
    </w:rPr>
  </w:style>
  <w:style w:type="character" w:customStyle="1" w:styleId="214">
    <w:name w:val="纯文本 Char"/>
    <w:basedOn w:val="34"/>
    <w:link w:val="13"/>
    <w:qFormat/>
    <w:uiPriority w:val="0"/>
    <w:rPr>
      <w:rFonts w:ascii="宋体" w:hAnsi="Courier New"/>
      <w:sz w:val="21"/>
      <w:szCs w:val="21"/>
    </w:rPr>
  </w:style>
  <w:style w:type="character" w:customStyle="1" w:styleId="215">
    <w:name w:val="标题 3 Char"/>
    <w:basedOn w:val="34"/>
    <w:semiHidden/>
    <w:qFormat/>
    <w:uiPriority w:val="0"/>
    <w:rPr>
      <w:rFonts w:asciiTheme="minorHAnsi" w:hAnsiTheme="minorHAnsi" w:eastAsiaTheme="minorEastAsia" w:cstheme="minorBidi"/>
      <w:b/>
      <w:bCs/>
      <w:sz w:val="32"/>
      <w:szCs w:val="32"/>
    </w:rPr>
  </w:style>
  <w:style w:type="character" w:customStyle="1" w:styleId="216">
    <w:name w:val="正文缩进 Char"/>
    <w:link w:val="5"/>
    <w:qFormat/>
    <w:uiPriority w:val="0"/>
    <w:rPr>
      <w:rFonts w:ascii="Calibri" w:hAnsi="Calibri"/>
    </w:rPr>
  </w:style>
  <w:style w:type="character" w:customStyle="1" w:styleId="217">
    <w:name w:val="标题 3 Char1"/>
    <w:link w:val="208"/>
    <w:qFormat/>
    <w:uiPriority w:val="0"/>
    <w:rPr>
      <w:b/>
      <w:bCs/>
      <w:sz w:val="32"/>
      <w:szCs w:val="32"/>
    </w:rPr>
  </w:style>
  <w:style w:type="character" w:customStyle="1" w:styleId="218">
    <w:name w:val="正文文本 Char"/>
    <w:basedOn w:val="34"/>
    <w:link w:val="7"/>
    <w:qFormat/>
    <w:uiPriority w:val="99"/>
    <w:rPr>
      <w:rFonts w:ascii="楷体_GB2312" w:hAnsi="Arial" w:eastAsia="楷体_GB2312"/>
      <w:sz w:val="28"/>
      <w:szCs w:val="28"/>
    </w:rPr>
  </w:style>
  <w:style w:type="paragraph" w:customStyle="1" w:styleId="219">
    <w:name w:val="*正文"/>
    <w:basedOn w:val="1"/>
    <w:qFormat/>
    <w:uiPriority w:val="0"/>
    <w:pPr>
      <w:widowControl/>
      <w:spacing w:line="300" w:lineRule="auto"/>
      <w:ind w:firstLine="480"/>
      <w:jc w:val="left"/>
    </w:pPr>
    <w:rPr>
      <w:rFonts w:ascii="宋体" w:hAnsi="宋体" w:eastAsia="宋体" w:cs="Times New Roman"/>
      <w:sz w:val="20"/>
    </w:rPr>
  </w:style>
  <w:style w:type="character" w:customStyle="1" w:styleId="220">
    <w:name w:val="批注框文本 Char"/>
    <w:basedOn w:val="34"/>
    <w:link w:val="16"/>
    <w:qFormat/>
    <w:uiPriority w:val="0"/>
    <w:rPr>
      <w:rFonts w:asciiTheme="minorHAnsi" w:hAnsiTheme="minorHAnsi" w:eastAsiaTheme="minorEastAsia" w:cstheme="minorBidi"/>
      <w:sz w:val="18"/>
      <w:szCs w:val="18"/>
    </w:rPr>
  </w:style>
  <w:style w:type="paragraph" w:customStyle="1" w:styleId="22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22">
    <w:name w:val="标题 2 Char"/>
    <w:basedOn w:val="34"/>
    <w:link w:val="207"/>
    <w:qFormat/>
    <w:uiPriority w:val="9"/>
    <w:rPr>
      <w:rFonts w:ascii="宋体" w:hAnsi="宋体"/>
      <w:b/>
      <w:bCs/>
      <w:sz w:val="36"/>
      <w:szCs w:val="36"/>
    </w:rPr>
  </w:style>
  <w:style w:type="character" w:customStyle="1" w:styleId="223">
    <w:name w:val="页眉 Char1"/>
    <w:basedOn w:val="34"/>
    <w:link w:val="50"/>
    <w:semiHidden/>
    <w:qFormat/>
    <w:uiPriority w:val="99"/>
    <w:rPr>
      <w:rFonts w:asciiTheme="minorHAnsi" w:hAnsiTheme="minorHAnsi" w:eastAsiaTheme="minorEastAsia" w:cstheme="minorBidi"/>
      <w:sz w:val="18"/>
      <w:szCs w:val="18"/>
    </w:rPr>
  </w:style>
  <w:style w:type="character" w:customStyle="1" w:styleId="224">
    <w:name w:val="页脚 Char1"/>
    <w:basedOn w:val="34"/>
    <w:link w:val="49"/>
    <w:semiHidden/>
    <w:qFormat/>
    <w:uiPriority w:val="99"/>
    <w:rPr>
      <w:rFonts w:asciiTheme="minorHAnsi" w:hAnsiTheme="minorHAnsi" w:eastAsiaTheme="minorEastAsia" w:cstheme="minorBidi"/>
      <w:sz w:val="18"/>
      <w:szCs w:val="18"/>
    </w:rPr>
  </w:style>
  <w:style w:type="character" w:customStyle="1" w:styleId="225">
    <w:name w:val="标题 2 Char1"/>
    <w:basedOn w:val="34"/>
    <w:link w:val="48"/>
    <w:semiHidden/>
    <w:qFormat/>
    <w:uiPriority w:val="9"/>
    <w:rPr>
      <w:rFonts w:asciiTheme="majorHAnsi" w:hAnsiTheme="majorHAnsi" w:eastAsiaTheme="majorEastAsia" w:cstheme="majorBidi"/>
      <w:b/>
      <w:bCs/>
      <w:sz w:val="32"/>
      <w:szCs w:val="32"/>
    </w:rPr>
  </w:style>
  <w:style w:type="paragraph" w:customStyle="1" w:styleId="226">
    <w:name w:val="text"/>
    <w:basedOn w:val="1"/>
    <w:qFormat/>
    <w:uiPriority w:val="0"/>
    <w:pPr>
      <w:widowControl/>
      <w:spacing w:before="100" w:beforeAutospacing="1" w:after="100" w:afterAutospacing="1"/>
      <w:jc w:val="left"/>
    </w:pPr>
    <w:rPr>
      <w:rFonts w:ascii="宋体" w:hAnsi="宋体" w:eastAsia="宋体" w:cs="宋体"/>
      <w:sz w:val="24"/>
    </w:rPr>
  </w:style>
  <w:style w:type="paragraph" w:customStyle="1" w:styleId="227">
    <w:name w:val="正文首行缩进 21"/>
    <w:basedOn w:val="1"/>
    <w:qFormat/>
    <w:uiPriority w:val="0"/>
    <w:pPr>
      <w:spacing w:after="120"/>
      <w:ind w:left="420" w:firstLine="420"/>
    </w:pPr>
  </w:style>
  <w:style w:type="paragraph" w:customStyle="1" w:styleId="228">
    <w:name w:val="Default"/>
    <w:basedOn w:val="1"/>
    <w:semiHidden/>
    <w:qFormat/>
    <w:uiPriority w:val="0"/>
    <w:pPr>
      <w:jc w:val="left"/>
    </w:pPr>
    <w:rPr>
      <w:rFonts w:ascii="宋体" w:hAnsi="Calibri" w:cs="宋体"/>
      <w:color w:val="000000"/>
      <w:sz w:val="24"/>
    </w:rPr>
  </w:style>
  <w:style w:type="paragraph" w:customStyle="1" w:styleId="229">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customStyle="1" w:styleId="230">
    <w:name w:val="Table Text"/>
    <w:basedOn w:val="1"/>
    <w:semiHidden/>
    <w:qFormat/>
    <w:uiPriority w:val="0"/>
    <w:rPr>
      <w:rFonts w:ascii="宋体" w:hAnsi="宋体" w:eastAsia="宋体" w:cs="宋体"/>
      <w:sz w:val="24"/>
      <w:szCs w:val="24"/>
    </w:rPr>
  </w:style>
  <w:style w:type="table" w:customStyle="1" w:styleId="231">
    <w:name w:val="Table Normal"/>
    <w:unhideWhenUsed/>
    <w:qFormat/>
    <w:uiPriority w:val="0"/>
    <w:tblPr>
      <w:tblCellMar>
        <w:top w:w="0" w:type="dxa"/>
        <w:left w:w="0" w:type="dxa"/>
        <w:bottom w:w="0" w:type="dxa"/>
        <w:right w:w="0" w:type="dxa"/>
      </w:tblCellMar>
    </w:tblPr>
  </w:style>
  <w:style w:type="paragraph" w:customStyle="1" w:styleId="232">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33">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4">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paragraph" w:customStyle="1" w:styleId="235">
    <w:name w:val="普通(网站)12"/>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49</Pages>
  <Words>25121</Words>
  <Characters>27225</Characters>
  <TotalTime>0</TotalTime>
  <ScaleCrop>false</ScaleCrop>
  <LinksUpToDate>false</LinksUpToDate>
  <CharactersWithSpaces>28931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2025-06-19T12:50:00Z</dcterms:created>
  <dc:creator>正式环境陈艳测试账号</dc:creator>
  <cp:lastModifiedBy>倪亮</cp:lastModifiedBy>
  <dcterms:modified xsi:type="dcterms:W3CDTF">2025-11-12T08:33:03Z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5C2B6AC4AD1F45AF8D22C29FEFAF4451_13</vt:lpwstr>
  </property>
  <property fmtid="{D5CDD505-2E9C-101B-9397-08002B2CF9AE}" pid="4" name="KSOTemplateDocerSaveRecord">
    <vt:lpwstr>eyJoZGlkIjoiZGYyNzRiYzg5NzQ4OTFlOWFlYTY0MTQ4Mjk1ODAyMDYiLCJ1c2VySWQiOiI4MzQwMDQ5MjQifQ==</vt:lpwstr>
  </property>
</Properties>
</file>